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B21ED" w14:textId="6B59C26A" w:rsidR="000044FA" w:rsidRPr="003C3118" w:rsidRDefault="000044FA" w:rsidP="000044FA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color w:val="336699"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color w:val="336699"/>
          <w:sz w:val="28"/>
          <w:szCs w:val="28"/>
        </w:rPr>
        <w:t>Specialized Registry Reporting for Eligible Professionals</w:t>
      </w:r>
    </w:p>
    <w:p w14:paraId="586B17CF" w14:textId="77777777" w:rsidR="000044FA" w:rsidRPr="00651859" w:rsidRDefault="000044FA" w:rsidP="006C62BE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16"/>
          <w:szCs w:val="16"/>
        </w:rPr>
      </w:pPr>
    </w:p>
    <w:p w14:paraId="655AB6B6" w14:textId="6D8450B8" w:rsidR="00DA1D3F" w:rsidRDefault="006C62BE" w:rsidP="006C62BE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</w:rPr>
      </w:pPr>
      <w:r w:rsidRPr="00447D4A">
        <w:rPr>
          <w:rFonts w:ascii="Cambria" w:eastAsia="Times New Roman" w:hAnsi="Cambria" w:cs="Times New Roman"/>
          <w:b/>
          <w:noProof/>
          <w:sz w:val="24"/>
          <w:szCs w:val="24"/>
        </w:rPr>
        <w:t>Public Health Objective Documentation Aid</w:t>
      </w:r>
    </w:p>
    <w:p w14:paraId="197D5857" w14:textId="24560A38" w:rsidR="000044FA" w:rsidRPr="00447D4A" w:rsidRDefault="000044FA" w:rsidP="006C62BE">
      <w:pPr>
        <w:spacing w:after="0" w:line="240" w:lineRule="auto"/>
        <w:jc w:val="center"/>
        <w:rPr>
          <w:rFonts w:ascii="Cambria" w:eastAsia="Times New Roman" w:hAnsi="Cambria" w:cs="Times New Roman"/>
          <w:b/>
          <w:noProof/>
          <w:sz w:val="24"/>
          <w:szCs w:val="24"/>
        </w:rPr>
      </w:pPr>
      <w:r>
        <w:rPr>
          <w:rFonts w:ascii="Cambria" w:eastAsia="Times New Roman" w:hAnsi="Cambria" w:cs="Times New Roman"/>
          <w:b/>
          <w:noProof/>
          <w:sz w:val="24"/>
          <w:szCs w:val="24"/>
        </w:rPr>
        <w:t>Program Year 2018, MU Stage 2: Objective 10 Option 3</w:t>
      </w:r>
      <w:r w:rsidRPr="000044FA">
        <w:rPr>
          <w:rFonts w:ascii="Cambria" w:eastAsia="Times New Roman" w:hAnsi="Cambria" w:cs="Times New Roman"/>
          <w:b/>
          <w:noProof/>
          <w:sz w:val="24"/>
          <w:szCs w:val="24"/>
        </w:rPr>
        <w:t xml:space="preserve"> </w:t>
      </w:r>
    </w:p>
    <w:p w14:paraId="562C5151" w14:textId="12800989" w:rsidR="00396118" w:rsidRDefault="00396118" w:rsidP="006C62BE">
      <w:pPr>
        <w:spacing w:after="0" w:line="240" w:lineRule="auto"/>
        <w:rPr>
          <w:rFonts w:ascii="Cambria" w:eastAsia="Times New Roman" w:hAnsi="Cambria" w:cs="Times New Roman"/>
          <w:b/>
          <w:noProof/>
          <w:sz w:val="8"/>
          <w:szCs w:val="8"/>
        </w:rPr>
      </w:pPr>
    </w:p>
    <w:p w14:paraId="3444393A" w14:textId="5346D548" w:rsidR="00170724" w:rsidRDefault="00170724" w:rsidP="006C62BE">
      <w:pPr>
        <w:spacing w:after="0" w:line="240" w:lineRule="auto"/>
        <w:rPr>
          <w:rFonts w:ascii="Cambria" w:eastAsia="Times New Roman" w:hAnsi="Cambria" w:cs="Times New Roman"/>
          <w:b/>
          <w:noProof/>
          <w:sz w:val="8"/>
          <w:szCs w:val="8"/>
        </w:rPr>
      </w:pPr>
      <w:r w:rsidRPr="00396118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7B76DC" wp14:editId="0EAE870C">
                <wp:simplePos x="0" y="0"/>
                <wp:positionH relativeFrom="margin">
                  <wp:posOffset>22860</wp:posOffset>
                </wp:positionH>
                <wp:positionV relativeFrom="paragraph">
                  <wp:posOffset>28204</wp:posOffset>
                </wp:positionV>
                <wp:extent cx="717677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677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366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CD00D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.8pt,2.2pt" to="566.9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" strokecolor="#369" strokeweight="2pt">
                <v:stroke joinstyle="miter"/>
                <w10:wrap anchorx="margin"/>
              </v:line>
            </w:pict>
          </mc:Fallback>
        </mc:AlternateContent>
      </w:r>
    </w:p>
    <w:p w14:paraId="7A3DB059" w14:textId="6B130229" w:rsidR="006C62BE" w:rsidRPr="00396118" w:rsidRDefault="006C62BE" w:rsidP="006C62BE">
      <w:pPr>
        <w:spacing w:after="0" w:line="240" w:lineRule="auto"/>
        <w:rPr>
          <w:rFonts w:ascii="Cambria" w:eastAsia="Times New Roman" w:hAnsi="Cambria" w:cs="Times New Roman"/>
          <w:b/>
          <w:noProof/>
          <w:sz w:val="8"/>
          <w:szCs w:val="8"/>
        </w:rPr>
      </w:pPr>
    </w:p>
    <w:p w14:paraId="533D0EA4" w14:textId="398E7657" w:rsidR="00654884" w:rsidRPr="00396118" w:rsidRDefault="00654884" w:rsidP="00B22493">
      <w:pPr>
        <w:pStyle w:val="NoSpacing"/>
        <w:numPr>
          <w:ilvl w:val="0"/>
          <w:numId w:val="18"/>
        </w:numPr>
        <w:ind w:left="288" w:right="144" w:hanging="288"/>
        <w:rPr>
          <w:rFonts w:ascii="Cambria" w:hAnsi="Cambria"/>
          <w:noProof/>
          <w:sz w:val="24"/>
          <w:szCs w:val="24"/>
        </w:rPr>
      </w:pPr>
      <w:r w:rsidRPr="00396118">
        <w:rPr>
          <w:rFonts w:ascii="Cambria" w:hAnsi="Cambria"/>
          <w:noProof/>
          <w:sz w:val="24"/>
          <w:szCs w:val="24"/>
        </w:rPr>
        <w:t xml:space="preserve">Documentation to support a provider’s attestation regarding Specialized Registry reporting is required at the time of application submission. </w:t>
      </w:r>
    </w:p>
    <w:p w14:paraId="39CCF7E4" w14:textId="385287CE" w:rsidR="0046027A" w:rsidRDefault="00654884" w:rsidP="00B22493">
      <w:pPr>
        <w:pStyle w:val="NoSpacing"/>
        <w:numPr>
          <w:ilvl w:val="0"/>
          <w:numId w:val="18"/>
        </w:numPr>
        <w:ind w:left="288" w:right="144" w:hanging="288"/>
        <w:rPr>
          <w:rFonts w:ascii="Cambria" w:hAnsi="Cambria"/>
          <w:noProof/>
          <w:sz w:val="24"/>
          <w:szCs w:val="24"/>
        </w:rPr>
      </w:pPr>
      <w:r w:rsidRPr="00396118">
        <w:rPr>
          <w:rFonts w:ascii="Cambria" w:hAnsi="Cambria"/>
          <w:noProof/>
          <w:sz w:val="24"/>
          <w:szCs w:val="24"/>
        </w:rPr>
        <w:t>This form may be used for multiple attesting Eligible Professionals</w:t>
      </w:r>
      <w:r w:rsidR="000318A4" w:rsidRPr="00396118">
        <w:rPr>
          <w:rFonts w:ascii="Cambria" w:hAnsi="Cambria"/>
          <w:noProof/>
          <w:sz w:val="24"/>
          <w:szCs w:val="24"/>
        </w:rPr>
        <w:t xml:space="preserve"> (EPs)</w:t>
      </w:r>
      <w:r w:rsidRPr="00396118">
        <w:rPr>
          <w:rFonts w:ascii="Cambria" w:hAnsi="Cambria"/>
          <w:noProof/>
          <w:sz w:val="24"/>
          <w:szCs w:val="24"/>
        </w:rPr>
        <w:t>, if the supporting d</w:t>
      </w:r>
      <w:r w:rsidR="0046027A" w:rsidRPr="00396118">
        <w:rPr>
          <w:rFonts w:ascii="Cambria" w:hAnsi="Cambria"/>
          <w:noProof/>
          <w:sz w:val="24"/>
          <w:szCs w:val="24"/>
        </w:rPr>
        <w:t>o</w:t>
      </w:r>
      <w:r w:rsidRPr="00396118">
        <w:rPr>
          <w:rFonts w:ascii="Cambria" w:hAnsi="Cambria"/>
          <w:noProof/>
          <w:sz w:val="24"/>
          <w:szCs w:val="24"/>
        </w:rPr>
        <w:t xml:space="preserve">cumenation applies to more than one provider at a practice location.  </w:t>
      </w:r>
    </w:p>
    <w:p w14:paraId="26EB4DC3" w14:textId="23374DA4" w:rsidR="00396118" w:rsidRDefault="00396118" w:rsidP="00396118">
      <w:pPr>
        <w:pStyle w:val="NoSpacing"/>
        <w:rPr>
          <w:noProof/>
          <w:sz w:val="8"/>
          <w:szCs w:val="8"/>
        </w:rPr>
      </w:pPr>
    </w:p>
    <w:p w14:paraId="1BAA6452" w14:textId="77777777" w:rsidR="00AC550A" w:rsidRPr="00396118" w:rsidRDefault="00AC550A" w:rsidP="00396118">
      <w:pPr>
        <w:pStyle w:val="NoSpacing"/>
        <w:rPr>
          <w:noProof/>
          <w:sz w:val="8"/>
          <w:szCs w:val="8"/>
        </w:rPr>
      </w:pPr>
    </w:p>
    <w:p w14:paraId="2C12E937" w14:textId="071B9A86" w:rsidR="00396118" w:rsidRPr="00B95370" w:rsidRDefault="00396118" w:rsidP="00396118">
      <w:pPr>
        <w:pStyle w:val="NoSpacing"/>
        <w:ind w:left="360" w:right="720"/>
        <w:rPr>
          <w:rFonts w:ascii="Cambria" w:hAnsi="Cambria"/>
          <w:noProof/>
          <w:sz w:val="20"/>
          <w:szCs w:val="20"/>
        </w:rPr>
      </w:pPr>
      <w:r w:rsidRPr="00B95370">
        <w:rPr>
          <w:rFonts w:ascii="Cambria" w:hAnsi="Cambria"/>
          <w:b/>
          <w:noProof/>
          <w:sz w:val="20"/>
          <w:szCs w:val="20"/>
        </w:rPr>
        <w:t>Please Note</w:t>
      </w:r>
      <w:r w:rsidRPr="00B95370">
        <w:rPr>
          <w:rFonts w:ascii="Cambria" w:hAnsi="Cambria"/>
          <w:noProof/>
          <w:sz w:val="20"/>
          <w:szCs w:val="20"/>
        </w:rPr>
        <w:t>: The terms “</w:t>
      </w:r>
      <w:r w:rsidRPr="00B95370">
        <w:rPr>
          <w:rFonts w:ascii="Cambria" w:hAnsi="Cambria"/>
          <w:i/>
          <w:noProof/>
          <w:sz w:val="20"/>
          <w:szCs w:val="20"/>
        </w:rPr>
        <w:t>EHR Reporting Period</w:t>
      </w:r>
      <w:r w:rsidRPr="00B95370">
        <w:rPr>
          <w:rFonts w:ascii="Cambria" w:hAnsi="Cambria"/>
          <w:noProof/>
          <w:sz w:val="20"/>
          <w:szCs w:val="20"/>
        </w:rPr>
        <w:t>,” “</w:t>
      </w:r>
      <w:r w:rsidRPr="00B95370">
        <w:rPr>
          <w:rFonts w:ascii="Cambria" w:hAnsi="Cambria"/>
          <w:i/>
          <w:noProof/>
          <w:sz w:val="20"/>
          <w:szCs w:val="20"/>
        </w:rPr>
        <w:t>MU Reporting Period</w:t>
      </w:r>
      <w:r w:rsidRPr="00B95370">
        <w:rPr>
          <w:rFonts w:ascii="Cambria" w:hAnsi="Cambria"/>
          <w:noProof/>
          <w:sz w:val="20"/>
          <w:szCs w:val="20"/>
        </w:rPr>
        <w:t>”, and “</w:t>
      </w:r>
      <w:r w:rsidRPr="00B95370">
        <w:rPr>
          <w:rFonts w:ascii="Cambria" w:hAnsi="Cambria"/>
          <w:i/>
          <w:noProof/>
          <w:sz w:val="20"/>
          <w:szCs w:val="20"/>
        </w:rPr>
        <w:t>Promoting Interoperability Reporting Period</w:t>
      </w:r>
      <w:r w:rsidRPr="00B95370">
        <w:rPr>
          <w:rFonts w:ascii="Cambria" w:hAnsi="Cambria"/>
          <w:noProof/>
          <w:sz w:val="20"/>
          <w:szCs w:val="20"/>
        </w:rPr>
        <w:t>” all refer to the continuous 90-day period within the Program Year in which an Eligible Professional demonstrates meaningful use of certified EHR technology.</w:t>
      </w:r>
    </w:p>
    <w:p w14:paraId="4903ADCB" w14:textId="72D76C29" w:rsidR="00396118" w:rsidRDefault="00396118" w:rsidP="00396118">
      <w:pPr>
        <w:pStyle w:val="NoSpacing"/>
        <w:rPr>
          <w:sz w:val="8"/>
          <w:szCs w:val="8"/>
        </w:rPr>
      </w:pPr>
    </w:p>
    <w:p w14:paraId="4D5D60F2" w14:textId="77777777" w:rsidR="00AC550A" w:rsidRPr="00396118" w:rsidRDefault="00AC550A" w:rsidP="00396118">
      <w:pPr>
        <w:pStyle w:val="NoSpacing"/>
        <w:rPr>
          <w:sz w:val="8"/>
          <w:szCs w:val="8"/>
        </w:rPr>
      </w:pPr>
    </w:p>
    <w:p w14:paraId="5F0775C0" w14:textId="6D9BAB38" w:rsidR="0046027A" w:rsidRPr="00332683" w:rsidRDefault="009E2938" w:rsidP="00563147">
      <w:pPr>
        <w:pStyle w:val="NoSpacing"/>
        <w:rPr>
          <w:rFonts w:ascii="Cambria" w:hAnsi="Cambria"/>
          <w:b/>
          <w:noProof/>
          <w:color w:val="2F5496" w:themeColor="accent5" w:themeShade="BF"/>
          <w:sz w:val="24"/>
          <w:szCs w:val="24"/>
        </w:rPr>
      </w:pPr>
      <w:r w:rsidRPr="00332683">
        <w:rPr>
          <w:rFonts w:ascii="Cambria" w:hAnsi="Cambria"/>
          <w:b/>
          <w:noProof/>
          <w:color w:val="2F5496" w:themeColor="accent5" w:themeShade="BF"/>
          <w:sz w:val="24"/>
          <w:szCs w:val="24"/>
        </w:rPr>
        <w:t xml:space="preserve">     Instructions:</w:t>
      </w:r>
    </w:p>
    <w:p w14:paraId="10BECB08" w14:textId="698FA845" w:rsidR="0046027A" w:rsidRPr="00566519" w:rsidRDefault="0046027A" w:rsidP="0046027A">
      <w:pPr>
        <w:pStyle w:val="ListParagraph"/>
        <w:numPr>
          <w:ilvl w:val="0"/>
          <w:numId w:val="7"/>
        </w:numPr>
        <w:rPr>
          <w:rFonts w:ascii="Cambria" w:eastAsia="Times New Roman" w:hAnsi="Cambria" w:cs="Times New Roman"/>
          <w:noProof/>
          <w:sz w:val="24"/>
          <w:szCs w:val="24"/>
        </w:rPr>
      </w:pPr>
      <w:r w:rsidRPr="00566519">
        <w:rPr>
          <w:rFonts w:ascii="Cambria" w:eastAsia="Times New Roman" w:hAnsi="Cambria" w:cs="Times New Roman"/>
          <w:noProof/>
          <w:sz w:val="24"/>
          <w:szCs w:val="24"/>
        </w:rPr>
        <w:t>List the provider name</w:t>
      </w:r>
      <w:r w:rsidR="00170724">
        <w:rPr>
          <w:rFonts w:ascii="Cambria" w:eastAsia="Times New Roman" w:hAnsi="Cambria" w:cs="Times New Roman"/>
          <w:noProof/>
          <w:sz w:val="24"/>
          <w:szCs w:val="24"/>
        </w:rPr>
        <w:t>s</w:t>
      </w:r>
      <w:r w:rsidRPr="00566519">
        <w:rPr>
          <w:rFonts w:ascii="Cambria" w:eastAsia="Times New Roman" w:hAnsi="Cambria" w:cs="Times New Roman"/>
          <w:noProof/>
          <w:sz w:val="24"/>
          <w:szCs w:val="24"/>
        </w:rPr>
        <w:t>, NPI</w:t>
      </w:r>
      <w:r w:rsidR="00170724">
        <w:rPr>
          <w:rFonts w:ascii="Cambria" w:eastAsia="Times New Roman" w:hAnsi="Cambria" w:cs="Times New Roman"/>
          <w:noProof/>
          <w:sz w:val="24"/>
          <w:szCs w:val="24"/>
        </w:rPr>
        <w:t>s</w:t>
      </w:r>
      <w:r w:rsidRPr="00566519">
        <w:rPr>
          <w:rFonts w:ascii="Cambria" w:eastAsia="Times New Roman" w:hAnsi="Cambria" w:cs="Times New Roman"/>
          <w:noProof/>
          <w:sz w:val="24"/>
          <w:szCs w:val="24"/>
        </w:rPr>
        <w:t xml:space="preserve"> and </w:t>
      </w:r>
      <w:r>
        <w:rPr>
          <w:rFonts w:ascii="Cambria" w:eastAsia="Times New Roman" w:hAnsi="Cambria" w:cs="Times New Roman"/>
          <w:noProof/>
          <w:sz w:val="24"/>
          <w:szCs w:val="24"/>
        </w:rPr>
        <w:t xml:space="preserve">the 2018 </w:t>
      </w:r>
      <w:r w:rsidR="00621F5A">
        <w:rPr>
          <w:rFonts w:ascii="Cambria" w:eastAsia="Times New Roman" w:hAnsi="Cambria" w:cs="Times New Roman"/>
          <w:noProof/>
          <w:sz w:val="24"/>
          <w:szCs w:val="24"/>
        </w:rPr>
        <w:t>EHR</w:t>
      </w:r>
      <w:r w:rsidR="00B95370">
        <w:rPr>
          <w:rFonts w:ascii="Cambria" w:eastAsia="Times New Roman" w:hAnsi="Cambria" w:cs="Times New Roman"/>
          <w:noProof/>
          <w:sz w:val="24"/>
          <w:szCs w:val="24"/>
        </w:rPr>
        <w:t>/MU</w:t>
      </w:r>
      <w:r w:rsidR="00621F5A">
        <w:rPr>
          <w:rFonts w:ascii="Cambria" w:eastAsia="Times New Roman" w:hAnsi="Cambria" w:cs="Times New Roman"/>
          <w:noProof/>
          <w:sz w:val="24"/>
          <w:szCs w:val="24"/>
        </w:rPr>
        <w:t xml:space="preserve"> Reporting Period</w:t>
      </w:r>
      <w:r w:rsidR="00170724">
        <w:rPr>
          <w:rFonts w:ascii="Cambria" w:eastAsia="Times New Roman" w:hAnsi="Cambria" w:cs="Times New Roman"/>
          <w:noProof/>
          <w:sz w:val="24"/>
          <w:szCs w:val="24"/>
        </w:rPr>
        <w:t>s</w:t>
      </w:r>
      <w:r w:rsidR="00621F5A">
        <w:rPr>
          <w:rFonts w:ascii="Cambria" w:eastAsia="Times New Roman" w:hAnsi="Cambria" w:cs="Times New Roman"/>
          <w:noProof/>
          <w:sz w:val="24"/>
          <w:szCs w:val="24"/>
        </w:rPr>
        <w:t xml:space="preserve"> o</w:t>
      </w:r>
      <w:r w:rsidR="003069FE">
        <w:rPr>
          <w:rFonts w:ascii="Cambria" w:eastAsia="Times New Roman" w:hAnsi="Cambria" w:cs="Times New Roman"/>
          <w:noProof/>
          <w:sz w:val="24"/>
          <w:szCs w:val="24"/>
        </w:rPr>
        <w:t>n Page 3</w:t>
      </w:r>
      <w:r w:rsidR="00A07FD3">
        <w:rPr>
          <w:rFonts w:ascii="Cambria" w:eastAsia="Times New Roman" w:hAnsi="Cambria" w:cs="Times New Roman"/>
          <w:noProof/>
          <w:sz w:val="24"/>
          <w:szCs w:val="24"/>
        </w:rPr>
        <w:t>.</w:t>
      </w:r>
    </w:p>
    <w:p w14:paraId="027F9C18" w14:textId="326529BD" w:rsidR="0046027A" w:rsidRPr="00566519" w:rsidRDefault="0046027A" w:rsidP="0046027A">
      <w:pPr>
        <w:pStyle w:val="ListParagraph"/>
        <w:numPr>
          <w:ilvl w:val="0"/>
          <w:numId w:val="7"/>
        </w:numPr>
        <w:rPr>
          <w:rFonts w:ascii="Cambria" w:eastAsia="Times New Roman" w:hAnsi="Cambria" w:cs="Times New Roman"/>
          <w:noProof/>
          <w:sz w:val="24"/>
          <w:szCs w:val="24"/>
        </w:rPr>
      </w:pPr>
      <w:r w:rsidRPr="00566519">
        <w:rPr>
          <w:rFonts w:ascii="Cambria" w:eastAsia="Times New Roman" w:hAnsi="Cambria" w:cs="Times New Roman"/>
          <w:noProof/>
          <w:sz w:val="24"/>
          <w:szCs w:val="24"/>
        </w:rPr>
        <w:t xml:space="preserve">Indicate </w:t>
      </w:r>
      <w:r w:rsidR="00BB19F3">
        <w:rPr>
          <w:rFonts w:ascii="Cambria" w:eastAsia="Times New Roman" w:hAnsi="Cambria" w:cs="Times New Roman"/>
          <w:noProof/>
          <w:sz w:val="24"/>
          <w:szCs w:val="24"/>
        </w:rPr>
        <w:t xml:space="preserve">on Page </w:t>
      </w:r>
      <w:r w:rsidR="00170724">
        <w:rPr>
          <w:rFonts w:ascii="Cambria" w:eastAsia="Times New Roman" w:hAnsi="Cambria" w:cs="Times New Roman"/>
          <w:noProof/>
          <w:sz w:val="24"/>
          <w:szCs w:val="24"/>
        </w:rPr>
        <w:t>3</w:t>
      </w:r>
      <w:r w:rsidR="00BB19F3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Pr="00566519">
        <w:rPr>
          <w:rFonts w:ascii="Cambria" w:eastAsia="Times New Roman" w:hAnsi="Cambria" w:cs="Times New Roman"/>
          <w:noProof/>
          <w:sz w:val="24"/>
          <w:szCs w:val="24"/>
        </w:rPr>
        <w:t>whether or not the provider</w:t>
      </w:r>
      <w:r>
        <w:rPr>
          <w:rFonts w:ascii="Cambria" w:eastAsia="Times New Roman" w:hAnsi="Cambria" w:cs="Times New Roman"/>
          <w:noProof/>
          <w:sz w:val="24"/>
          <w:szCs w:val="24"/>
        </w:rPr>
        <w:t>s:</w:t>
      </w:r>
    </w:p>
    <w:p w14:paraId="7494024F" w14:textId="74DAEB09" w:rsidR="0046027A" w:rsidRDefault="0046027A" w:rsidP="0046027A">
      <w:pPr>
        <w:pStyle w:val="ListParagraph"/>
        <w:numPr>
          <w:ilvl w:val="1"/>
          <w:numId w:val="7"/>
        </w:numPr>
        <w:rPr>
          <w:rFonts w:ascii="Cambria" w:eastAsia="Times New Roman" w:hAnsi="Cambria" w:cs="Times New Roman"/>
          <w:noProof/>
          <w:sz w:val="24"/>
          <w:szCs w:val="24"/>
        </w:rPr>
      </w:pPr>
      <w:r>
        <w:rPr>
          <w:rFonts w:ascii="Cambria" w:eastAsia="Times New Roman" w:hAnsi="Cambria" w:cs="Times New Roman"/>
          <w:noProof/>
          <w:sz w:val="24"/>
          <w:szCs w:val="24"/>
        </w:rPr>
        <w:t>M</w:t>
      </w:r>
      <w:r w:rsidRPr="00566519">
        <w:rPr>
          <w:rFonts w:ascii="Cambria" w:eastAsia="Times New Roman" w:hAnsi="Cambria" w:cs="Times New Roman"/>
          <w:noProof/>
          <w:sz w:val="24"/>
          <w:szCs w:val="24"/>
        </w:rPr>
        <w:t xml:space="preserve">et the measure via </w:t>
      </w:r>
      <w:r w:rsidRPr="00803741">
        <w:rPr>
          <w:rFonts w:ascii="Cambria" w:eastAsia="Times New Roman" w:hAnsi="Cambria" w:cs="Times New Roman"/>
          <w:i/>
          <w:noProof/>
          <w:sz w:val="24"/>
          <w:szCs w:val="24"/>
        </w:rPr>
        <w:t>Active Engagement</w:t>
      </w:r>
      <w:r>
        <w:rPr>
          <w:rFonts w:ascii="Cambria" w:eastAsia="Times New Roman" w:hAnsi="Cambria" w:cs="Times New Roman"/>
          <w:noProof/>
          <w:sz w:val="24"/>
          <w:szCs w:val="24"/>
        </w:rPr>
        <w:t xml:space="preserve"> with a Specialized R</w:t>
      </w:r>
      <w:r w:rsidRPr="00566519">
        <w:rPr>
          <w:rFonts w:ascii="Cambria" w:eastAsia="Times New Roman" w:hAnsi="Cambria" w:cs="Times New Roman"/>
          <w:noProof/>
          <w:sz w:val="24"/>
          <w:szCs w:val="24"/>
        </w:rPr>
        <w:t xml:space="preserve">egistry, </w:t>
      </w:r>
      <w:r w:rsidR="00AB1E89" w:rsidRPr="00AB1E89">
        <w:rPr>
          <w:rFonts w:ascii="Cambria" w:eastAsia="Times New Roman" w:hAnsi="Cambria" w:cs="Times New Roman"/>
          <w:noProof/>
          <w:sz w:val="24"/>
          <w:szCs w:val="24"/>
          <w:highlight w:val="yellow"/>
        </w:rPr>
        <w:t>OR</w:t>
      </w:r>
    </w:p>
    <w:p w14:paraId="6AAF445F" w14:textId="77777777" w:rsidR="0046027A" w:rsidRPr="00566519" w:rsidRDefault="0046027A" w:rsidP="0046027A">
      <w:pPr>
        <w:pStyle w:val="ListParagraph"/>
        <w:numPr>
          <w:ilvl w:val="1"/>
          <w:numId w:val="7"/>
        </w:numPr>
        <w:rPr>
          <w:rFonts w:ascii="Cambria" w:eastAsia="Times New Roman" w:hAnsi="Cambria" w:cs="Times New Roman"/>
          <w:noProof/>
          <w:sz w:val="24"/>
          <w:szCs w:val="24"/>
        </w:rPr>
      </w:pPr>
      <w:r w:rsidRPr="00566519">
        <w:rPr>
          <w:rFonts w:ascii="Cambria" w:eastAsia="Times New Roman" w:hAnsi="Cambria" w:cs="Times New Roman"/>
          <w:noProof/>
          <w:sz w:val="24"/>
          <w:szCs w:val="24"/>
        </w:rPr>
        <w:t>Qualifie</w:t>
      </w:r>
      <w:r>
        <w:rPr>
          <w:rFonts w:ascii="Cambria" w:eastAsia="Times New Roman" w:hAnsi="Cambria" w:cs="Times New Roman"/>
          <w:noProof/>
          <w:sz w:val="24"/>
          <w:szCs w:val="24"/>
        </w:rPr>
        <w:t>d</w:t>
      </w:r>
      <w:r w:rsidRPr="00566519">
        <w:rPr>
          <w:rFonts w:ascii="Cambria" w:eastAsia="Times New Roman" w:hAnsi="Cambria" w:cs="Times New Roman"/>
          <w:noProof/>
          <w:sz w:val="24"/>
          <w:szCs w:val="24"/>
        </w:rPr>
        <w:t xml:space="preserve"> for an </w:t>
      </w:r>
      <w:r w:rsidRPr="00803741">
        <w:rPr>
          <w:rFonts w:ascii="Cambria" w:eastAsia="Times New Roman" w:hAnsi="Cambria" w:cs="Times New Roman"/>
          <w:i/>
          <w:noProof/>
          <w:sz w:val="24"/>
          <w:szCs w:val="24"/>
        </w:rPr>
        <w:t>Exclusion</w:t>
      </w:r>
      <w:r w:rsidRPr="00566519">
        <w:rPr>
          <w:rFonts w:ascii="Cambria" w:eastAsia="Times New Roman" w:hAnsi="Cambria" w:cs="Times New Roman"/>
          <w:noProof/>
          <w:sz w:val="24"/>
          <w:szCs w:val="24"/>
        </w:rPr>
        <w:t>.</w:t>
      </w:r>
    </w:p>
    <w:p w14:paraId="60DEE852" w14:textId="08E8318C" w:rsidR="0046027A" w:rsidRDefault="0046027A" w:rsidP="0046027A">
      <w:pPr>
        <w:pStyle w:val="ListParagraph"/>
        <w:numPr>
          <w:ilvl w:val="0"/>
          <w:numId w:val="7"/>
        </w:numPr>
        <w:rPr>
          <w:rFonts w:ascii="Cambria" w:eastAsia="Times New Roman" w:hAnsi="Cambria" w:cs="Times New Roman"/>
          <w:noProof/>
          <w:sz w:val="24"/>
          <w:szCs w:val="24"/>
        </w:rPr>
      </w:pPr>
      <w:r>
        <w:rPr>
          <w:rFonts w:ascii="Cambria" w:eastAsia="Times New Roman" w:hAnsi="Cambria" w:cs="Times New Roman"/>
          <w:noProof/>
          <w:sz w:val="24"/>
          <w:szCs w:val="24"/>
        </w:rPr>
        <w:t xml:space="preserve">Describe the </w:t>
      </w:r>
      <w:r w:rsidR="001B587B">
        <w:rPr>
          <w:rFonts w:ascii="Cambria" w:eastAsia="Times New Roman" w:hAnsi="Cambria" w:cs="Times New Roman"/>
          <w:noProof/>
          <w:sz w:val="24"/>
          <w:szCs w:val="24"/>
        </w:rPr>
        <w:t xml:space="preserve">Active Engagement </w:t>
      </w:r>
      <w:r>
        <w:rPr>
          <w:rFonts w:ascii="Cambria" w:eastAsia="Times New Roman" w:hAnsi="Cambria" w:cs="Times New Roman"/>
          <w:noProof/>
          <w:sz w:val="24"/>
          <w:szCs w:val="24"/>
        </w:rPr>
        <w:t>supporting documentation</w:t>
      </w:r>
      <w:r w:rsidR="00BB19F3">
        <w:rPr>
          <w:rFonts w:ascii="Cambria" w:eastAsia="Times New Roman" w:hAnsi="Cambria" w:cs="Times New Roman"/>
          <w:noProof/>
          <w:sz w:val="24"/>
          <w:szCs w:val="24"/>
        </w:rPr>
        <w:t xml:space="preserve"> on Page </w:t>
      </w:r>
      <w:r w:rsidR="00815C9F">
        <w:rPr>
          <w:rFonts w:ascii="Cambria" w:eastAsia="Times New Roman" w:hAnsi="Cambria" w:cs="Times New Roman"/>
          <w:noProof/>
          <w:sz w:val="24"/>
          <w:szCs w:val="24"/>
        </w:rPr>
        <w:t>3</w:t>
      </w:r>
      <w:r w:rsidR="00BB19F3">
        <w:rPr>
          <w:rFonts w:ascii="Cambria" w:eastAsia="Times New Roman" w:hAnsi="Cambria" w:cs="Times New Roman"/>
          <w:noProof/>
          <w:sz w:val="24"/>
          <w:szCs w:val="24"/>
        </w:rPr>
        <w:t>.</w:t>
      </w:r>
      <w:r w:rsidR="001B587B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</w:p>
    <w:p w14:paraId="4EC18B25" w14:textId="5FF202A1" w:rsidR="00651859" w:rsidRPr="00651859" w:rsidRDefault="00651859" w:rsidP="00651859">
      <w:pPr>
        <w:pStyle w:val="ListParagraph"/>
        <w:numPr>
          <w:ilvl w:val="0"/>
          <w:numId w:val="7"/>
        </w:numPr>
        <w:spacing w:line="252" w:lineRule="auto"/>
        <w:ind w:right="720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Please ensure the documentation supports the </w:t>
      </w:r>
      <w:r>
        <w:rPr>
          <w:rFonts w:ascii="Cambria" w:eastAsia="Times New Roman" w:hAnsi="Cambria"/>
          <w:sz w:val="24"/>
          <w:szCs w:val="24"/>
          <w:highlight w:val="yellow"/>
        </w:rPr>
        <w:t>timeframes</w:t>
      </w:r>
      <w:r>
        <w:rPr>
          <w:rFonts w:ascii="Cambria" w:eastAsia="Times New Roman" w:hAnsi="Cambria"/>
          <w:sz w:val="24"/>
          <w:szCs w:val="24"/>
        </w:rPr>
        <w:t xml:space="preserve"> described in the Active Engagement </w:t>
      </w:r>
      <w:r>
        <w:rPr>
          <w:rFonts w:ascii="Cambria" w:eastAsia="Times New Roman" w:hAnsi="Cambria"/>
          <w:b/>
          <w:bCs/>
          <w:sz w:val="24"/>
          <w:szCs w:val="24"/>
        </w:rPr>
        <w:t>definitions</w:t>
      </w:r>
      <w:r>
        <w:rPr>
          <w:rFonts w:ascii="Cambria" w:eastAsia="Times New Roman" w:hAnsi="Cambria"/>
          <w:sz w:val="24"/>
          <w:szCs w:val="24"/>
        </w:rPr>
        <w:t xml:space="preserve">, available at our </w:t>
      </w:r>
      <w:hyperlink r:id="rId11" w:history="1">
        <w:r>
          <w:rPr>
            <w:rStyle w:val="Hyperlink"/>
            <w:rFonts w:ascii="Cambria" w:eastAsia="Times New Roman" w:hAnsi="Cambria"/>
            <w:sz w:val="24"/>
            <w:szCs w:val="24"/>
          </w:rPr>
          <w:t>website</w:t>
        </w:r>
      </w:hyperlink>
      <w:r>
        <w:rPr>
          <w:rFonts w:ascii="Cambria" w:eastAsia="Times New Roman" w:hAnsi="Cambria"/>
          <w:sz w:val="24"/>
          <w:szCs w:val="24"/>
        </w:rPr>
        <w:t xml:space="preserve"> and in the </w:t>
      </w:r>
      <w:hyperlink r:id="rId12" w:history="1">
        <w:r>
          <w:rPr>
            <w:rStyle w:val="Hyperlink"/>
            <w:rFonts w:ascii="Cambria" w:eastAsia="Times New Roman" w:hAnsi="Cambria"/>
            <w:sz w:val="24"/>
            <w:szCs w:val="24"/>
          </w:rPr>
          <w:t>Specification Sheet</w:t>
        </w:r>
      </w:hyperlink>
      <w:r>
        <w:rPr>
          <w:rFonts w:ascii="Cambria" w:eastAsia="Times New Roman" w:hAnsi="Cambria"/>
          <w:sz w:val="24"/>
          <w:szCs w:val="24"/>
        </w:rPr>
        <w:t>.</w:t>
      </w:r>
    </w:p>
    <w:p w14:paraId="19040FD2" w14:textId="082715FC" w:rsidR="001B587B" w:rsidRPr="001B587B" w:rsidRDefault="00396118" w:rsidP="001D07B0">
      <w:pPr>
        <w:pStyle w:val="ListParagraph"/>
        <w:numPr>
          <w:ilvl w:val="0"/>
          <w:numId w:val="7"/>
        </w:numPr>
        <w:rPr>
          <w:rFonts w:ascii="Cambria" w:eastAsia="Times New Roman" w:hAnsi="Cambria" w:cs="Times New Roman"/>
          <w:noProof/>
          <w:sz w:val="24"/>
          <w:szCs w:val="24"/>
        </w:rPr>
      </w:pPr>
      <w:r w:rsidRPr="00926ADE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851DB7" wp14:editId="3ECCA2B9">
                <wp:simplePos x="0" y="0"/>
                <wp:positionH relativeFrom="margin">
                  <wp:posOffset>42545</wp:posOffset>
                </wp:positionH>
                <wp:positionV relativeFrom="paragraph">
                  <wp:posOffset>294376</wp:posOffset>
                </wp:positionV>
                <wp:extent cx="717677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677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366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90C8EC" id="Straight Connector 1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.35pt,23.2pt" to="568.4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" strokecolor="#369" strokeweight="2pt">
                <v:stroke joinstyle="miter"/>
                <w10:wrap anchorx="margin"/>
              </v:line>
            </w:pict>
          </mc:Fallback>
        </mc:AlternateContent>
      </w:r>
      <w:r w:rsidR="001B587B" w:rsidRPr="001B587B">
        <w:rPr>
          <w:rFonts w:ascii="Cambria" w:eastAsia="Times New Roman" w:hAnsi="Cambria" w:cs="Times New Roman"/>
          <w:noProof/>
          <w:sz w:val="24"/>
          <w:szCs w:val="24"/>
        </w:rPr>
        <w:t>Utilize Page 5 for supporting documentation statements from providers taking an exclusion</w:t>
      </w:r>
      <w:r w:rsidR="001B587B">
        <w:rPr>
          <w:rFonts w:ascii="Cambria" w:eastAsia="Times New Roman" w:hAnsi="Cambria" w:cs="Times New Roman"/>
          <w:noProof/>
          <w:sz w:val="24"/>
          <w:szCs w:val="24"/>
        </w:rPr>
        <w:t>.</w:t>
      </w:r>
    </w:p>
    <w:p w14:paraId="7459B91B" w14:textId="1AEB6A51" w:rsidR="00332683" w:rsidRPr="00170724" w:rsidRDefault="00332683" w:rsidP="00332683">
      <w:pPr>
        <w:pStyle w:val="NoSpacing"/>
        <w:ind w:left="360" w:right="432"/>
        <w:rPr>
          <w:rFonts w:ascii="Cambria" w:hAnsi="Cambria"/>
          <w:b/>
          <w:bCs/>
          <w:sz w:val="8"/>
          <w:szCs w:val="8"/>
          <w:lang w:val="en"/>
        </w:rPr>
      </w:pPr>
    </w:p>
    <w:p w14:paraId="631E808A" w14:textId="77777777" w:rsidR="00332683" w:rsidRPr="00876483" w:rsidRDefault="00332683" w:rsidP="00332683">
      <w:pPr>
        <w:pStyle w:val="NoSpacing"/>
        <w:ind w:left="360" w:right="432"/>
        <w:rPr>
          <w:rFonts w:ascii="Cambria" w:hAnsi="Cambria"/>
          <w:b/>
          <w:bCs/>
          <w:sz w:val="8"/>
          <w:szCs w:val="8"/>
          <w:lang w:val="en"/>
        </w:rPr>
      </w:pPr>
    </w:p>
    <w:p w14:paraId="24360EB8" w14:textId="77777777" w:rsidR="00332683" w:rsidRPr="00332683" w:rsidRDefault="00332683" w:rsidP="004A79D7">
      <w:pPr>
        <w:spacing w:after="0" w:line="240" w:lineRule="auto"/>
        <w:ind w:left="288"/>
        <w:rPr>
          <w:rFonts w:ascii="Cambria" w:eastAsia="Times New Roman" w:hAnsi="Cambria" w:cs="Times New Roman"/>
          <w:b/>
          <w:noProof/>
          <w:color w:val="336699"/>
          <w:sz w:val="24"/>
          <w:szCs w:val="24"/>
        </w:rPr>
      </w:pPr>
      <w:r w:rsidRPr="00332683">
        <w:rPr>
          <w:rFonts w:ascii="Cambria" w:eastAsia="Times New Roman" w:hAnsi="Cambria" w:cs="Times New Roman"/>
          <w:b/>
          <w:noProof/>
          <w:color w:val="336699"/>
          <w:sz w:val="24"/>
          <w:szCs w:val="24"/>
        </w:rPr>
        <w:t>The Blueprint for Health Vermont Clinical Registry is a Specialized Registry</w:t>
      </w:r>
    </w:p>
    <w:p w14:paraId="12B6F5DA" w14:textId="77777777" w:rsidR="00332683" w:rsidRPr="00332683" w:rsidRDefault="00332683" w:rsidP="004A79D7">
      <w:pPr>
        <w:pStyle w:val="NoSpacing"/>
        <w:ind w:left="288" w:right="288"/>
        <w:rPr>
          <w:rFonts w:ascii="Cambria" w:hAnsi="Cambria"/>
          <w:sz w:val="8"/>
          <w:szCs w:val="8"/>
        </w:rPr>
      </w:pPr>
    </w:p>
    <w:p w14:paraId="48DF617D" w14:textId="7E665927" w:rsidR="00332683" w:rsidRPr="00332683" w:rsidRDefault="00332683" w:rsidP="004A79D7">
      <w:pPr>
        <w:pStyle w:val="NoSpacing"/>
        <w:ind w:left="288" w:right="288"/>
        <w:rPr>
          <w:rFonts w:ascii="Cambria" w:hAnsi="Cambria"/>
          <w:sz w:val="24"/>
          <w:szCs w:val="24"/>
        </w:rPr>
      </w:pPr>
      <w:r w:rsidRPr="00876483">
        <w:rPr>
          <w:rFonts w:ascii="Cambria" w:hAnsi="Cambria"/>
          <w:sz w:val="24"/>
          <w:szCs w:val="24"/>
        </w:rPr>
        <w:t xml:space="preserve">If </w:t>
      </w:r>
      <w:r>
        <w:rPr>
          <w:rFonts w:ascii="Cambria" w:hAnsi="Cambria"/>
          <w:sz w:val="24"/>
          <w:szCs w:val="24"/>
        </w:rPr>
        <w:t xml:space="preserve">a provider meets </w:t>
      </w:r>
      <w:r w:rsidRPr="00876483">
        <w:rPr>
          <w:rFonts w:ascii="Cambria" w:hAnsi="Cambria"/>
          <w:sz w:val="24"/>
          <w:szCs w:val="24"/>
        </w:rPr>
        <w:t xml:space="preserve">Meaningful Use criteria for </w:t>
      </w:r>
      <w:r>
        <w:rPr>
          <w:rFonts w:ascii="Cambria" w:hAnsi="Cambria"/>
          <w:sz w:val="24"/>
          <w:szCs w:val="24"/>
        </w:rPr>
        <w:t xml:space="preserve">Active Engagement with the Blueprint for Health’s </w:t>
      </w:r>
      <w:r w:rsidRPr="00332683">
        <w:rPr>
          <w:rFonts w:ascii="Cambria" w:hAnsi="Cambria"/>
          <w:b/>
          <w:sz w:val="24"/>
          <w:szCs w:val="24"/>
        </w:rPr>
        <w:t>Vermont Clinical Registry</w:t>
      </w:r>
      <w:r>
        <w:rPr>
          <w:rFonts w:ascii="Cambria" w:hAnsi="Cambria"/>
          <w:sz w:val="24"/>
          <w:szCs w:val="24"/>
        </w:rPr>
        <w:t xml:space="preserve">, they may attest to the appropriate Active </w:t>
      </w:r>
      <w:r w:rsidR="00E32343">
        <w:rPr>
          <w:rFonts w:ascii="Cambria" w:hAnsi="Cambria"/>
          <w:sz w:val="24"/>
          <w:szCs w:val="24"/>
        </w:rPr>
        <w:t>Engagement</w:t>
      </w:r>
      <w:r>
        <w:rPr>
          <w:rFonts w:ascii="Cambria" w:hAnsi="Cambria"/>
          <w:sz w:val="24"/>
          <w:szCs w:val="24"/>
        </w:rPr>
        <w:t xml:space="preserve"> status in their MAPIR application. </w:t>
      </w:r>
      <w:r w:rsidRPr="00876483">
        <w:rPr>
          <w:rFonts w:ascii="Cambria" w:hAnsi="Cambria"/>
          <w:sz w:val="24"/>
          <w:szCs w:val="24"/>
          <w:highlight w:val="yellow"/>
        </w:rPr>
        <w:t>No further documentation is required at the time of attestation.</w:t>
      </w:r>
      <w:r>
        <w:rPr>
          <w:rFonts w:ascii="Cambria" w:hAnsi="Cambria"/>
          <w:sz w:val="24"/>
          <w:szCs w:val="24"/>
        </w:rPr>
        <w:t xml:space="preserve"> The </w:t>
      </w:r>
      <w:r w:rsidR="00170724">
        <w:rPr>
          <w:rFonts w:ascii="Cambria" w:hAnsi="Cambria"/>
          <w:sz w:val="24"/>
          <w:szCs w:val="24"/>
        </w:rPr>
        <w:t xml:space="preserve">Vermont Medicaid </w:t>
      </w:r>
      <w:r w:rsidR="002A288B">
        <w:rPr>
          <w:rFonts w:ascii="Cambria" w:hAnsi="Cambria"/>
          <w:sz w:val="24"/>
          <w:szCs w:val="24"/>
        </w:rPr>
        <w:t>P</w:t>
      </w:r>
      <w:r w:rsidR="00170724">
        <w:rPr>
          <w:rFonts w:ascii="Cambria" w:hAnsi="Cambria"/>
          <w:sz w:val="24"/>
          <w:szCs w:val="24"/>
        </w:rPr>
        <w:t>romoting Interoperability</w:t>
      </w:r>
      <w:r w:rsidR="002A288B">
        <w:rPr>
          <w:rFonts w:ascii="Cambria" w:hAnsi="Cambria"/>
          <w:sz w:val="24"/>
          <w:szCs w:val="24"/>
        </w:rPr>
        <w:t>/EHR</w:t>
      </w:r>
      <w:r w:rsidR="00170724">
        <w:rPr>
          <w:rFonts w:ascii="Cambria" w:hAnsi="Cambria"/>
          <w:sz w:val="24"/>
          <w:szCs w:val="24"/>
        </w:rPr>
        <w:t xml:space="preserve"> </w:t>
      </w:r>
      <w:r w:rsidR="002A288B">
        <w:rPr>
          <w:rFonts w:ascii="Cambria" w:hAnsi="Cambria"/>
          <w:sz w:val="24"/>
          <w:szCs w:val="24"/>
        </w:rPr>
        <w:t>I</w:t>
      </w:r>
      <w:r w:rsidR="00170724">
        <w:rPr>
          <w:rFonts w:ascii="Cambria" w:hAnsi="Cambria"/>
          <w:sz w:val="24"/>
          <w:szCs w:val="24"/>
        </w:rPr>
        <w:t xml:space="preserve">ncentive </w:t>
      </w:r>
      <w:r w:rsidR="002A288B">
        <w:rPr>
          <w:rFonts w:ascii="Cambria" w:hAnsi="Cambria"/>
          <w:sz w:val="24"/>
          <w:szCs w:val="24"/>
        </w:rPr>
        <w:t>P</w:t>
      </w:r>
      <w:r w:rsidR="00170724">
        <w:rPr>
          <w:rFonts w:ascii="Cambria" w:hAnsi="Cambria"/>
          <w:sz w:val="24"/>
          <w:szCs w:val="24"/>
        </w:rPr>
        <w:t>rogram</w:t>
      </w:r>
      <w:r w:rsidR="002A288B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Team will verify the </w:t>
      </w:r>
      <w:r w:rsidR="00C2544F">
        <w:rPr>
          <w:rFonts w:ascii="Cambria" w:hAnsi="Cambria"/>
          <w:sz w:val="24"/>
          <w:szCs w:val="24"/>
        </w:rPr>
        <w:t>engagement</w:t>
      </w:r>
      <w:r w:rsidRPr="00876483">
        <w:rPr>
          <w:rFonts w:ascii="Cambria" w:hAnsi="Cambria"/>
          <w:sz w:val="24"/>
          <w:szCs w:val="24"/>
        </w:rPr>
        <w:t xml:space="preserve"> status using administrative reports from the Vermont Clinical Registry</w:t>
      </w:r>
      <w:r>
        <w:rPr>
          <w:rFonts w:ascii="Cambria" w:hAnsi="Cambria"/>
          <w:sz w:val="24"/>
          <w:szCs w:val="24"/>
        </w:rPr>
        <w:t xml:space="preserve">. If additional documentation is required, we will follow up during the application review process. </w:t>
      </w:r>
      <w:r w:rsidRPr="00876483">
        <w:rPr>
          <w:rFonts w:ascii="Cambria" w:hAnsi="Cambria"/>
          <w:sz w:val="24"/>
          <w:szCs w:val="24"/>
        </w:rPr>
        <w:t xml:space="preserve"> </w:t>
      </w:r>
    </w:p>
    <w:p w14:paraId="24A54BCD" w14:textId="14A8C54C" w:rsidR="00332683" w:rsidRDefault="00332683" w:rsidP="00654884">
      <w:pPr>
        <w:pStyle w:val="NoSpacing"/>
        <w:rPr>
          <w:sz w:val="8"/>
          <w:szCs w:val="8"/>
        </w:rPr>
      </w:pPr>
    </w:p>
    <w:p w14:paraId="29A5BB91" w14:textId="10661C0D" w:rsidR="00B22493" w:rsidRDefault="00B22493" w:rsidP="00654884">
      <w:pPr>
        <w:pStyle w:val="NoSpacing"/>
        <w:rPr>
          <w:sz w:val="8"/>
          <w:szCs w:val="8"/>
        </w:rPr>
      </w:pPr>
      <w:r w:rsidRPr="00B40320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043E82" wp14:editId="438F3871">
                <wp:simplePos x="0" y="0"/>
                <wp:positionH relativeFrom="margin">
                  <wp:posOffset>40005</wp:posOffset>
                </wp:positionH>
                <wp:positionV relativeFrom="paragraph">
                  <wp:posOffset>60325</wp:posOffset>
                </wp:positionV>
                <wp:extent cx="717677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677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3366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BB33EE" id="Straight Connector 1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.15pt,4.75pt" to="568.2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" strokecolor="#369" strokeweight="2pt">
                <v:stroke joinstyle="miter"/>
                <w10:wrap anchorx="margin"/>
              </v:line>
            </w:pict>
          </mc:Fallback>
        </mc:AlternateContent>
      </w:r>
    </w:p>
    <w:p w14:paraId="4ADCA956" w14:textId="72D92B7C" w:rsidR="00B22493" w:rsidRPr="004476B5" w:rsidRDefault="00B22493" w:rsidP="00654884">
      <w:pPr>
        <w:pStyle w:val="NoSpacing"/>
        <w:rPr>
          <w:sz w:val="8"/>
          <w:szCs w:val="8"/>
        </w:rPr>
      </w:pPr>
    </w:p>
    <w:p w14:paraId="23C1B370" w14:textId="4648A348" w:rsidR="00A80B76" w:rsidRPr="00A80B76" w:rsidRDefault="00A80B76" w:rsidP="004A79D7">
      <w:pPr>
        <w:pStyle w:val="NoSpacing"/>
        <w:ind w:left="288"/>
        <w:rPr>
          <w:rFonts w:ascii="Cambria" w:eastAsia="Times New Roman" w:hAnsi="Cambria" w:cs="Times New Roman"/>
          <w:b/>
          <w:noProof/>
          <w:color w:val="336699"/>
          <w:sz w:val="24"/>
          <w:szCs w:val="24"/>
        </w:rPr>
      </w:pPr>
      <w:r w:rsidRPr="00A80B76">
        <w:rPr>
          <w:rFonts w:ascii="Cambria" w:eastAsia="Times New Roman" w:hAnsi="Cambria" w:cs="Times New Roman"/>
          <w:b/>
          <w:noProof/>
          <w:color w:val="336699"/>
          <w:sz w:val="24"/>
          <w:szCs w:val="24"/>
        </w:rPr>
        <w:t>Taking an Exclusion to Specialized Registry Reporting</w:t>
      </w:r>
    </w:p>
    <w:p w14:paraId="64A472EE" w14:textId="77777777" w:rsidR="00332683" w:rsidRPr="00332683" w:rsidRDefault="00332683" w:rsidP="0046027A">
      <w:pPr>
        <w:pStyle w:val="NoSpacing"/>
        <w:ind w:left="288" w:right="288"/>
        <w:rPr>
          <w:rFonts w:ascii="Cambria" w:hAnsi="Cambria"/>
          <w:sz w:val="8"/>
          <w:szCs w:val="8"/>
        </w:rPr>
      </w:pPr>
    </w:p>
    <w:p w14:paraId="6777B369" w14:textId="70203DC2" w:rsidR="002232E9" w:rsidRDefault="002232E9" w:rsidP="0046027A">
      <w:pPr>
        <w:pStyle w:val="NoSpacing"/>
        <w:ind w:left="288" w:right="288"/>
        <w:rPr>
          <w:rFonts w:ascii="Cambria" w:hAnsi="Cambria"/>
          <w:sz w:val="24"/>
          <w:szCs w:val="24"/>
        </w:rPr>
      </w:pPr>
      <w:r w:rsidRPr="002232E9">
        <w:rPr>
          <w:rFonts w:ascii="Cambria" w:hAnsi="Cambria"/>
          <w:sz w:val="24"/>
          <w:szCs w:val="24"/>
        </w:rPr>
        <w:t xml:space="preserve">All providers must engage in additional </w:t>
      </w:r>
      <w:hyperlink r:id="rId13" w:history="1">
        <w:r w:rsidR="0046027A">
          <w:rPr>
            <w:rStyle w:val="Hyperlink"/>
            <w:rFonts w:ascii="Cambria" w:hAnsi="Cambria"/>
            <w:sz w:val="24"/>
            <w:szCs w:val="24"/>
          </w:rPr>
          <w:t>due diligence, per CMS FAQ 13657</w:t>
        </w:r>
      </w:hyperlink>
      <w:r w:rsidR="00563147">
        <w:rPr>
          <w:rFonts w:ascii="Cambria" w:hAnsi="Cambria"/>
          <w:sz w:val="24"/>
          <w:szCs w:val="24"/>
        </w:rPr>
        <w:t xml:space="preserve"> before claiming an exclusion:</w:t>
      </w:r>
    </w:p>
    <w:p w14:paraId="2725DE9F" w14:textId="762ABE19" w:rsidR="002232E9" w:rsidRPr="004476B5" w:rsidRDefault="002232E9" w:rsidP="0046027A">
      <w:pPr>
        <w:pStyle w:val="NoSpacing"/>
        <w:ind w:left="288" w:right="288"/>
        <w:rPr>
          <w:rFonts w:ascii="Cambria" w:hAnsi="Cambria"/>
          <w:sz w:val="8"/>
          <w:szCs w:val="8"/>
        </w:rPr>
      </w:pPr>
      <w:r w:rsidRPr="004476B5">
        <w:rPr>
          <w:rFonts w:ascii="Cambria" w:hAnsi="Cambria"/>
          <w:sz w:val="8"/>
          <w:szCs w:val="8"/>
        </w:rPr>
        <w:t xml:space="preserve"> </w:t>
      </w:r>
    </w:p>
    <w:p w14:paraId="72DA4609" w14:textId="02B4179B" w:rsidR="002232E9" w:rsidRDefault="002232E9" w:rsidP="0046027A">
      <w:pPr>
        <w:pStyle w:val="NoSpacing"/>
        <w:ind w:left="288" w:right="288"/>
        <w:rPr>
          <w:rFonts w:ascii="Cambria" w:hAnsi="Cambria"/>
          <w:sz w:val="24"/>
          <w:szCs w:val="24"/>
        </w:rPr>
      </w:pPr>
      <w:r w:rsidRPr="002232E9">
        <w:rPr>
          <w:rFonts w:ascii="Cambria" w:hAnsi="Cambria"/>
          <w:b/>
          <w:bCs/>
          <w:sz w:val="24"/>
          <w:szCs w:val="24"/>
        </w:rPr>
        <w:t>What steps does a</w:t>
      </w:r>
      <w:r w:rsidR="000E59A4">
        <w:rPr>
          <w:rFonts w:ascii="Cambria" w:hAnsi="Cambria"/>
          <w:b/>
          <w:bCs/>
          <w:sz w:val="24"/>
          <w:szCs w:val="24"/>
        </w:rPr>
        <w:t xml:space="preserve">n Eligible Professional (EP) </w:t>
      </w:r>
      <w:r w:rsidRPr="002232E9">
        <w:rPr>
          <w:rFonts w:ascii="Cambria" w:hAnsi="Cambria"/>
          <w:b/>
          <w:bCs/>
          <w:sz w:val="24"/>
          <w:szCs w:val="24"/>
        </w:rPr>
        <w:t xml:space="preserve">have to take to determine if there is a </w:t>
      </w:r>
      <w:r w:rsidR="00B60453">
        <w:rPr>
          <w:rFonts w:ascii="Cambria" w:hAnsi="Cambria"/>
          <w:b/>
          <w:bCs/>
          <w:sz w:val="24"/>
          <w:szCs w:val="24"/>
        </w:rPr>
        <w:t>S</w:t>
      </w:r>
      <w:r w:rsidRPr="002232E9">
        <w:rPr>
          <w:rFonts w:ascii="Cambria" w:hAnsi="Cambria"/>
          <w:b/>
          <w:bCs/>
          <w:sz w:val="24"/>
          <w:szCs w:val="24"/>
        </w:rPr>
        <w:t xml:space="preserve">pecialized </w:t>
      </w:r>
      <w:r w:rsidR="00B60453">
        <w:rPr>
          <w:rFonts w:ascii="Cambria" w:hAnsi="Cambria"/>
          <w:b/>
          <w:bCs/>
          <w:sz w:val="24"/>
          <w:szCs w:val="24"/>
        </w:rPr>
        <w:t>R</w:t>
      </w:r>
      <w:r w:rsidRPr="002232E9">
        <w:rPr>
          <w:rFonts w:ascii="Cambria" w:hAnsi="Cambria"/>
          <w:b/>
          <w:bCs/>
          <w:sz w:val="24"/>
          <w:szCs w:val="24"/>
        </w:rPr>
        <w:t>egistry available for them, or if they should instead claim an exclusion?</w:t>
      </w:r>
      <w:r w:rsidRPr="002232E9">
        <w:rPr>
          <w:rFonts w:ascii="Cambria" w:hAnsi="Cambria"/>
          <w:sz w:val="24"/>
          <w:szCs w:val="24"/>
        </w:rPr>
        <w:t xml:space="preserve"> </w:t>
      </w:r>
      <w:r w:rsidR="001B587B">
        <w:rPr>
          <w:rFonts w:ascii="Cambria" w:hAnsi="Cambria"/>
          <w:sz w:val="24"/>
          <w:szCs w:val="24"/>
        </w:rPr>
        <w:t xml:space="preserve"> </w:t>
      </w:r>
      <w:r w:rsidR="00D026A7">
        <w:rPr>
          <w:rFonts w:ascii="Cambria" w:hAnsi="Cambria"/>
          <w:sz w:val="24"/>
          <w:szCs w:val="24"/>
        </w:rPr>
        <w:t xml:space="preserve">EPs are </w:t>
      </w:r>
      <w:r w:rsidR="00332683" w:rsidRPr="00332683">
        <w:rPr>
          <w:rFonts w:ascii="Cambria" w:hAnsi="Cambria"/>
          <w:sz w:val="24"/>
          <w:szCs w:val="24"/>
        </w:rPr>
        <w:t>not required to make an exhaustive search of all potential registries. Instead, they must do a few steps to meet due diligence in determining if there is a registry available for them, or if they meet the exclusion criteria.</w:t>
      </w:r>
    </w:p>
    <w:p w14:paraId="5CDE4BB1" w14:textId="664B5F3C" w:rsidR="00AE0610" w:rsidRPr="00BA7134" w:rsidRDefault="002232E9" w:rsidP="00BA7134">
      <w:pPr>
        <w:pStyle w:val="ListParagraph"/>
        <w:numPr>
          <w:ilvl w:val="0"/>
          <w:numId w:val="10"/>
        </w:numPr>
        <w:ind w:right="720"/>
        <w:rPr>
          <w:rFonts w:ascii="Cambria" w:eastAsia="Times New Roman" w:hAnsi="Cambria" w:cs="Times New Roman"/>
          <w:noProof/>
          <w:sz w:val="24"/>
          <w:szCs w:val="24"/>
        </w:rPr>
      </w:pPr>
      <w:r w:rsidRPr="009C323C">
        <w:rPr>
          <w:rFonts w:ascii="Cambria" w:eastAsia="Times New Roman" w:hAnsi="Cambria" w:cs="Times New Roman"/>
          <w:noProof/>
          <w:sz w:val="24"/>
          <w:szCs w:val="24"/>
        </w:rPr>
        <w:t xml:space="preserve">An EP should check with their State to determine if there is an available </w:t>
      </w:r>
      <w:r w:rsidR="00B60453">
        <w:rPr>
          <w:rFonts w:ascii="Cambria" w:eastAsia="Times New Roman" w:hAnsi="Cambria" w:cs="Times New Roman"/>
          <w:noProof/>
          <w:sz w:val="24"/>
          <w:szCs w:val="24"/>
        </w:rPr>
        <w:t>S</w:t>
      </w:r>
      <w:r w:rsidRPr="009C323C">
        <w:rPr>
          <w:rFonts w:ascii="Cambria" w:eastAsia="Times New Roman" w:hAnsi="Cambria" w:cs="Times New Roman"/>
          <w:noProof/>
          <w:sz w:val="24"/>
          <w:szCs w:val="24"/>
        </w:rPr>
        <w:t xml:space="preserve">pecialized </w:t>
      </w:r>
      <w:r w:rsidR="00B60453">
        <w:rPr>
          <w:rFonts w:ascii="Cambria" w:eastAsia="Times New Roman" w:hAnsi="Cambria" w:cs="Times New Roman"/>
          <w:noProof/>
          <w:sz w:val="24"/>
          <w:szCs w:val="24"/>
        </w:rPr>
        <w:t>R</w:t>
      </w:r>
      <w:r w:rsidRPr="009C323C">
        <w:rPr>
          <w:rFonts w:ascii="Cambria" w:eastAsia="Times New Roman" w:hAnsi="Cambria" w:cs="Times New Roman"/>
          <w:noProof/>
          <w:sz w:val="24"/>
          <w:szCs w:val="24"/>
        </w:rPr>
        <w:t>egistry maintained by a public health agency.</w:t>
      </w:r>
      <w:r w:rsidR="002A288B">
        <w:rPr>
          <w:rFonts w:ascii="Cambria" w:eastAsia="Times New Roman" w:hAnsi="Cambria" w:cs="Times New Roman"/>
          <w:noProof/>
          <w:sz w:val="24"/>
          <w:szCs w:val="24"/>
        </w:rPr>
        <w:t xml:space="preserve"> </w:t>
      </w:r>
      <w:r w:rsidR="002A288B" w:rsidRPr="002A288B">
        <w:rPr>
          <w:rFonts w:ascii="Cambria" w:eastAsia="Times New Roman" w:hAnsi="Cambria" w:cs="Times New Roman"/>
          <w:noProof/>
          <w:sz w:val="24"/>
          <w:szCs w:val="24"/>
        </w:rPr>
        <w:t>The Vermont Department of Health does not have a Special</w:t>
      </w:r>
      <w:r w:rsidR="00BA7134">
        <w:rPr>
          <w:rFonts w:ascii="Cambria" w:eastAsia="Times New Roman" w:hAnsi="Cambria" w:cs="Times New Roman"/>
          <w:noProof/>
          <w:sz w:val="24"/>
          <w:szCs w:val="24"/>
        </w:rPr>
        <w:t>ized</w:t>
      </w:r>
      <w:r w:rsidR="002A288B" w:rsidRPr="002A288B">
        <w:rPr>
          <w:rFonts w:ascii="Cambria" w:eastAsia="Times New Roman" w:hAnsi="Cambria" w:cs="Times New Roman"/>
          <w:noProof/>
          <w:sz w:val="24"/>
          <w:szCs w:val="24"/>
        </w:rPr>
        <w:t xml:space="preserve"> Registry. </w:t>
      </w:r>
      <w:r w:rsidR="00BA7134" w:rsidRPr="00A80B76">
        <w:rPr>
          <w:rFonts w:ascii="Cambria" w:hAnsi="Cambria"/>
          <w:sz w:val="24"/>
          <w:szCs w:val="24"/>
        </w:rPr>
        <w:t>The New Hampshire</w:t>
      </w:r>
      <w:r w:rsidR="00BA7134" w:rsidRPr="002232E9">
        <w:rPr>
          <w:rFonts w:ascii="Cambria" w:hAnsi="Cambria"/>
          <w:sz w:val="24"/>
          <w:szCs w:val="24"/>
        </w:rPr>
        <w:t xml:space="preserve"> Department of Health and Human Services </w:t>
      </w:r>
      <w:r w:rsidR="00BA7134">
        <w:rPr>
          <w:rFonts w:ascii="Cambria" w:hAnsi="Cambria"/>
          <w:sz w:val="24"/>
          <w:szCs w:val="24"/>
        </w:rPr>
        <w:t xml:space="preserve">Cancer Registry accepts </w:t>
      </w:r>
      <w:r w:rsidR="00BA7134" w:rsidRPr="002232E9">
        <w:rPr>
          <w:rFonts w:ascii="Cambria" w:hAnsi="Cambria"/>
          <w:sz w:val="24"/>
          <w:szCs w:val="24"/>
        </w:rPr>
        <w:t xml:space="preserve">electronic </w:t>
      </w:r>
      <w:r w:rsidR="00BA7134">
        <w:rPr>
          <w:rFonts w:ascii="Cambria" w:hAnsi="Cambria"/>
          <w:sz w:val="24"/>
          <w:szCs w:val="24"/>
        </w:rPr>
        <w:t xml:space="preserve">reporting of </w:t>
      </w:r>
      <w:r w:rsidR="00BA7134" w:rsidRPr="002232E9">
        <w:rPr>
          <w:rFonts w:ascii="Cambria" w:hAnsi="Cambria"/>
          <w:sz w:val="24"/>
          <w:szCs w:val="24"/>
        </w:rPr>
        <w:t xml:space="preserve">cancer case </w:t>
      </w:r>
      <w:r w:rsidR="00BA7134">
        <w:rPr>
          <w:rFonts w:ascii="Cambria" w:hAnsi="Cambria"/>
          <w:sz w:val="24"/>
          <w:szCs w:val="24"/>
        </w:rPr>
        <w:t>data.</w:t>
      </w:r>
      <w:r w:rsidR="00BA7134" w:rsidRPr="002232E9">
        <w:rPr>
          <w:rFonts w:ascii="Cambria" w:hAnsi="Cambria"/>
          <w:sz w:val="24"/>
          <w:szCs w:val="24"/>
        </w:rPr>
        <w:t xml:space="preserve"> </w:t>
      </w:r>
    </w:p>
    <w:p w14:paraId="70BD58C6" w14:textId="312524F0" w:rsidR="002232E9" w:rsidRDefault="002232E9" w:rsidP="009C323C">
      <w:pPr>
        <w:pStyle w:val="ListParagraph"/>
        <w:numPr>
          <w:ilvl w:val="0"/>
          <w:numId w:val="10"/>
        </w:numPr>
        <w:ind w:right="720"/>
        <w:rPr>
          <w:rFonts w:ascii="Cambria" w:eastAsia="Times New Roman" w:hAnsi="Cambria" w:cs="Times New Roman"/>
          <w:noProof/>
          <w:sz w:val="24"/>
          <w:szCs w:val="24"/>
        </w:rPr>
      </w:pPr>
      <w:r w:rsidRPr="009C323C">
        <w:rPr>
          <w:rFonts w:ascii="Cambria" w:eastAsia="Times New Roman" w:hAnsi="Cambria" w:cs="Times New Roman"/>
          <w:noProof/>
          <w:sz w:val="24"/>
          <w:szCs w:val="24"/>
        </w:rPr>
        <w:t>An EP should check with any specialty</w:t>
      </w:r>
      <w:r w:rsidR="00277BB1">
        <w:rPr>
          <w:rFonts w:ascii="Cambria" w:eastAsia="Times New Roman" w:hAnsi="Cambria" w:cs="Times New Roman"/>
          <w:noProof/>
          <w:sz w:val="24"/>
          <w:szCs w:val="24"/>
        </w:rPr>
        <w:t>/medical</w:t>
      </w:r>
      <w:r w:rsidRPr="009C323C">
        <w:rPr>
          <w:rFonts w:ascii="Cambria" w:eastAsia="Times New Roman" w:hAnsi="Cambria" w:cs="Times New Roman"/>
          <w:noProof/>
          <w:sz w:val="24"/>
          <w:szCs w:val="24"/>
        </w:rPr>
        <w:t xml:space="preserve"> society with which they are affiliated to determine if the society maintains a </w:t>
      </w:r>
      <w:r w:rsidR="00B60453">
        <w:rPr>
          <w:rFonts w:ascii="Cambria" w:eastAsia="Times New Roman" w:hAnsi="Cambria" w:cs="Times New Roman"/>
          <w:noProof/>
          <w:sz w:val="24"/>
          <w:szCs w:val="24"/>
        </w:rPr>
        <w:t>S</w:t>
      </w:r>
      <w:r w:rsidRPr="009C323C">
        <w:rPr>
          <w:rFonts w:ascii="Cambria" w:eastAsia="Times New Roman" w:hAnsi="Cambria" w:cs="Times New Roman"/>
          <w:noProof/>
          <w:sz w:val="24"/>
          <w:szCs w:val="24"/>
        </w:rPr>
        <w:t xml:space="preserve">pecialized </w:t>
      </w:r>
      <w:r w:rsidR="00B60453">
        <w:rPr>
          <w:rFonts w:ascii="Cambria" w:eastAsia="Times New Roman" w:hAnsi="Cambria" w:cs="Times New Roman"/>
          <w:noProof/>
          <w:sz w:val="24"/>
          <w:szCs w:val="24"/>
        </w:rPr>
        <w:t>R</w:t>
      </w:r>
      <w:r w:rsidRPr="009C323C">
        <w:rPr>
          <w:rFonts w:ascii="Cambria" w:eastAsia="Times New Roman" w:hAnsi="Cambria" w:cs="Times New Roman"/>
          <w:noProof/>
          <w:sz w:val="24"/>
          <w:szCs w:val="24"/>
        </w:rPr>
        <w:t>egistry and for which they have made a public declaration of readiness to receive data for meaningful use no later than the first day of the provider’s EHR</w:t>
      </w:r>
      <w:r w:rsidR="00B95370">
        <w:rPr>
          <w:rFonts w:ascii="Cambria" w:eastAsia="Times New Roman" w:hAnsi="Cambria" w:cs="Times New Roman"/>
          <w:noProof/>
          <w:sz w:val="24"/>
          <w:szCs w:val="24"/>
        </w:rPr>
        <w:t>/MU R</w:t>
      </w:r>
      <w:r w:rsidRPr="009C323C">
        <w:rPr>
          <w:rFonts w:ascii="Cambria" w:eastAsia="Times New Roman" w:hAnsi="Cambria" w:cs="Times New Roman"/>
          <w:noProof/>
          <w:sz w:val="24"/>
          <w:szCs w:val="24"/>
        </w:rPr>
        <w:t xml:space="preserve">eporting </w:t>
      </w:r>
      <w:r w:rsidR="00B95370">
        <w:rPr>
          <w:rFonts w:ascii="Cambria" w:eastAsia="Times New Roman" w:hAnsi="Cambria" w:cs="Times New Roman"/>
          <w:noProof/>
          <w:sz w:val="24"/>
          <w:szCs w:val="24"/>
        </w:rPr>
        <w:t>P</w:t>
      </w:r>
      <w:r w:rsidRPr="009C323C">
        <w:rPr>
          <w:rFonts w:ascii="Cambria" w:eastAsia="Times New Roman" w:hAnsi="Cambria" w:cs="Times New Roman"/>
          <w:noProof/>
          <w:sz w:val="24"/>
          <w:szCs w:val="24"/>
        </w:rPr>
        <w:t>eriod.</w:t>
      </w:r>
    </w:p>
    <w:p w14:paraId="04CE4681" w14:textId="77777777" w:rsidR="00651859" w:rsidRDefault="002232E9" w:rsidP="00332683">
      <w:pPr>
        <w:pStyle w:val="NoSpacing"/>
        <w:ind w:left="432" w:right="432"/>
        <w:rPr>
          <w:rFonts w:ascii="Cambria" w:hAnsi="Cambria"/>
          <w:b/>
          <w:bCs/>
          <w:sz w:val="24"/>
          <w:szCs w:val="24"/>
          <w:lang w:val="en"/>
        </w:rPr>
      </w:pPr>
      <w:r w:rsidRPr="002232E9">
        <w:rPr>
          <w:rFonts w:ascii="Cambria" w:hAnsi="Cambria"/>
          <w:sz w:val="24"/>
          <w:szCs w:val="24"/>
          <w:lang w:val="en"/>
        </w:rPr>
        <w:t>If the EP determines no registries are available, they may exclude from the measure,</w:t>
      </w:r>
      <w:r w:rsidRPr="002232E9">
        <w:rPr>
          <w:rFonts w:ascii="Cambria" w:hAnsi="Cambria"/>
          <w:b/>
          <w:bCs/>
          <w:sz w:val="24"/>
          <w:szCs w:val="24"/>
          <w:lang w:val="en"/>
        </w:rPr>
        <w:t xml:space="preserve"> but they must </w:t>
      </w:r>
      <w:r w:rsidR="001F71CC">
        <w:rPr>
          <w:rFonts w:ascii="Cambria" w:hAnsi="Cambria"/>
          <w:b/>
          <w:bCs/>
          <w:sz w:val="24"/>
          <w:szCs w:val="24"/>
          <w:lang w:val="en"/>
        </w:rPr>
        <w:t xml:space="preserve">supply </w:t>
      </w:r>
      <w:r w:rsidRPr="002232E9">
        <w:rPr>
          <w:rFonts w:ascii="Cambria" w:hAnsi="Cambria"/>
          <w:b/>
          <w:bCs/>
          <w:sz w:val="24"/>
          <w:szCs w:val="24"/>
          <w:lang w:val="en"/>
        </w:rPr>
        <w:t>documentation to support t</w:t>
      </w:r>
      <w:r w:rsidR="001F71CC">
        <w:rPr>
          <w:rFonts w:ascii="Cambria" w:hAnsi="Cambria"/>
          <w:b/>
          <w:bCs/>
          <w:sz w:val="24"/>
          <w:szCs w:val="24"/>
          <w:lang w:val="en"/>
        </w:rPr>
        <w:t>hat the above steps were taken at the time of attestation.</w:t>
      </w:r>
    </w:p>
    <w:p w14:paraId="49085A22" w14:textId="1594B41C" w:rsidR="00926ADE" w:rsidRDefault="00332683" w:rsidP="00332683">
      <w:pPr>
        <w:pStyle w:val="NoSpacing"/>
        <w:ind w:left="432" w:right="432"/>
        <w:rPr>
          <w:sz w:val="8"/>
          <w:szCs w:val="8"/>
        </w:rPr>
      </w:pPr>
      <w:r>
        <w:rPr>
          <w:sz w:val="8"/>
          <w:szCs w:val="8"/>
        </w:rPr>
        <w:t xml:space="preserve"> </w:t>
      </w:r>
      <w:bookmarkStart w:id="0" w:name="_GoBack"/>
      <w:bookmarkEnd w:id="0"/>
    </w:p>
    <w:p w14:paraId="5507D414" w14:textId="0D77BA33" w:rsidR="00636534" w:rsidRDefault="00636534" w:rsidP="00AB1E89">
      <w:pPr>
        <w:tabs>
          <w:tab w:val="left" w:pos="10695"/>
        </w:tabs>
        <w:rPr>
          <w:noProof/>
        </w:rPr>
      </w:pPr>
      <w:r w:rsidRPr="00AB1E89">
        <w:br w:type="page"/>
      </w:r>
    </w:p>
    <w:p w14:paraId="1815DE77" w14:textId="1EAB1F53" w:rsidR="00636534" w:rsidRDefault="00636534" w:rsidP="00563147">
      <w:pPr>
        <w:pStyle w:val="NoSpacing"/>
        <w:rPr>
          <w:noProof/>
          <w:sz w:val="8"/>
          <w:szCs w:val="8"/>
        </w:rPr>
      </w:pPr>
    </w:p>
    <w:p w14:paraId="25DD68D7" w14:textId="77777777" w:rsidR="00651859" w:rsidRPr="00A07FD3" w:rsidRDefault="00651859" w:rsidP="00563147">
      <w:pPr>
        <w:pStyle w:val="NoSpacing"/>
        <w:rPr>
          <w:noProof/>
          <w:sz w:val="8"/>
          <w:szCs w:val="8"/>
        </w:rPr>
      </w:pPr>
    </w:p>
    <w:p w14:paraId="300C6CB0" w14:textId="01788ECE" w:rsidR="00332683" w:rsidRPr="00A80B76" w:rsidRDefault="00332683" w:rsidP="00332683">
      <w:pPr>
        <w:spacing w:after="0" w:line="240" w:lineRule="auto"/>
        <w:ind w:left="288"/>
        <w:rPr>
          <w:rFonts w:ascii="Cambria" w:eastAsia="Times New Roman" w:hAnsi="Cambria" w:cs="Times New Roman"/>
          <w:b/>
          <w:noProof/>
          <w:color w:val="336699"/>
          <w:sz w:val="24"/>
          <w:szCs w:val="24"/>
        </w:rPr>
      </w:pPr>
      <w:r>
        <w:rPr>
          <w:rFonts w:ascii="Cambria" w:eastAsia="Times New Roman" w:hAnsi="Cambria" w:cs="Times New Roman"/>
          <w:b/>
          <w:noProof/>
          <w:color w:val="336699"/>
          <w:sz w:val="24"/>
          <w:szCs w:val="24"/>
        </w:rPr>
        <w:t xml:space="preserve">Attesting to Specialized </w:t>
      </w:r>
      <w:r w:rsidRPr="00A80B76">
        <w:rPr>
          <w:rFonts w:ascii="Cambria" w:eastAsia="Times New Roman" w:hAnsi="Cambria" w:cs="Times New Roman"/>
          <w:b/>
          <w:noProof/>
          <w:color w:val="336699"/>
          <w:sz w:val="24"/>
          <w:szCs w:val="24"/>
        </w:rPr>
        <w:t>Registry Reporting</w:t>
      </w:r>
      <w:r>
        <w:rPr>
          <w:rFonts w:ascii="Cambria" w:eastAsia="Times New Roman" w:hAnsi="Cambria" w:cs="Times New Roman"/>
          <w:b/>
          <w:noProof/>
          <w:color w:val="336699"/>
          <w:sz w:val="24"/>
          <w:szCs w:val="24"/>
        </w:rPr>
        <w:t xml:space="preserve"> in MAPIR</w:t>
      </w:r>
    </w:p>
    <w:p w14:paraId="2E7DED7C" w14:textId="77777777" w:rsidR="00332683" w:rsidRPr="00332683" w:rsidRDefault="00332683" w:rsidP="00563147">
      <w:pPr>
        <w:pStyle w:val="NoSpacing"/>
        <w:rPr>
          <w:noProof/>
          <w:sz w:val="8"/>
          <w:szCs w:val="8"/>
        </w:rPr>
      </w:pPr>
    </w:p>
    <w:p w14:paraId="147F4F61" w14:textId="4C694122" w:rsidR="00636534" w:rsidRDefault="00636534" w:rsidP="00636534">
      <w:pPr>
        <w:pStyle w:val="ListParagraph"/>
        <w:numPr>
          <w:ilvl w:val="0"/>
          <w:numId w:val="10"/>
        </w:numPr>
        <w:ind w:right="720"/>
        <w:rPr>
          <w:rFonts w:ascii="Cambria" w:eastAsia="Times New Roman" w:hAnsi="Cambria" w:cs="Times New Roman"/>
          <w:noProof/>
          <w:sz w:val="24"/>
          <w:szCs w:val="24"/>
        </w:rPr>
      </w:pPr>
      <w:r w:rsidRPr="0046027A">
        <w:rPr>
          <w:rFonts w:ascii="Cambria" w:eastAsia="Times New Roman" w:hAnsi="Cambria" w:cs="Times New Roman"/>
          <w:noProof/>
          <w:sz w:val="24"/>
          <w:szCs w:val="24"/>
        </w:rPr>
        <w:t xml:space="preserve">An Eligible Professional may report to more than one </w:t>
      </w:r>
      <w:r w:rsidR="00B60453">
        <w:rPr>
          <w:rFonts w:ascii="Cambria" w:eastAsia="Times New Roman" w:hAnsi="Cambria" w:cs="Times New Roman"/>
          <w:noProof/>
          <w:sz w:val="24"/>
          <w:szCs w:val="24"/>
        </w:rPr>
        <w:t>S</w:t>
      </w:r>
      <w:r w:rsidRPr="0046027A">
        <w:rPr>
          <w:rFonts w:ascii="Cambria" w:eastAsia="Times New Roman" w:hAnsi="Cambria" w:cs="Times New Roman"/>
          <w:noProof/>
          <w:sz w:val="24"/>
          <w:szCs w:val="24"/>
        </w:rPr>
        <w:t xml:space="preserve">pecialized </w:t>
      </w:r>
      <w:r w:rsidR="00B60453">
        <w:rPr>
          <w:rFonts w:ascii="Cambria" w:eastAsia="Times New Roman" w:hAnsi="Cambria" w:cs="Times New Roman"/>
          <w:noProof/>
          <w:sz w:val="24"/>
          <w:szCs w:val="24"/>
        </w:rPr>
        <w:t>R</w:t>
      </w:r>
      <w:r w:rsidRPr="0046027A">
        <w:rPr>
          <w:rFonts w:ascii="Cambria" w:eastAsia="Times New Roman" w:hAnsi="Cambria" w:cs="Times New Roman"/>
          <w:noProof/>
          <w:sz w:val="24"/>
          <w:szCs w:val="24"/>
        </w:rPr>
        <w:t>egistry.</w:t>
      </w:r>
      <w:r w:rsidR="001675C8">
        <w:rPr>
          <w:rFonts w:ascii="Cambria" w:eastAsia="Times New Roman" w:hAnsi="Cambria" w:cs="Times New Roman"/>
          <w:noProof/>
          <w:sz w:val="24"/>
          <w:szCs w:val="24"/>
        </w:rPr>
        <w:t xml:space="preserve"> Specialized Registries may be sponsored or maintained by Public Health Agencies o</w:t>
      </w:r>
      <w:r w:rsidR="002F2954">
        <w:rPr>
          <w:rFonts w:ascii="Cambria" w:eastAsia="Times New Roman" w:hAnsi="Cambria" w:cs="Times New Roman"/>
          <w:noProof/>
          <w:sz w:val="24"/>
          <w:szCs w:val="24"/>
        </w:rPr>
        <w:t xml:space="preserve">r </w:t>
      </w:r>
      <w:r w:rsidR="001675C8">
        <w:rPr>
          <w:rFonts w:ascii="Cambria" w:eastAsia="Times New Roman" w:hAnsi="Cambria" w:cs="Times New Roman"/>
          <w:noProof/>
          <w:sz w:val="24"/>
          <w:szCs w:val="24"/>
        </w:rPr>
        <w:t xml:space="preserve">other organizations, such as </w:t>
      </w:r>
      <w:r w:rsidR="002F2954">
        <w:rPr>
          <w:rFonts w:ascii="Cambria" w:eastAsia="Times New Roman" w:hAnsi="Cambria" w:cs="Times New Roman"/>
          <w:noProof/>
          <w:sz w:val="24"/>
          <w:szCs w:val="24"/>
        </w:rPr>
        <w:t xml:space="preserve">EHR vendors, </w:t>
      </w:r>
      <w:r w:rsidR="001675C8">
        <w:rPr>
          <w:rFonts w:ascii="Cambria" w:eastAsia="Times New Roman" w:hAnsi="Cambria" w:cs="Times New Roman"/>
          <w:noProof/>
          <w:sz w:val="24"/>
          <w:szCs w:val="24"/>
        </w:rPr>
        <w:t>national specialty or medical socie</w:t>
      </w:r>
      <w:r w:rsidR="002F2954">
        <w:rPr>
          <w:rFonts w:ascii="Cambria" w:eastAsia="Times New Roman" w:hAnsi="Cambria" w:cs="Times New Roman"/>
          <w:noProof/>
          <w:sz w:val="24"/>
          <w:szCs w:val="24"/>
        </w:rPr>
        <w:t>tie</w:t>
      </w:r>
      <w:r w:rsidR="001675C8">
        <w:rPr>
          <w:rFonts w:ascii="Cambria" w:eastAsia="Times New Roman" w:hAnsi="Cambria" w:cs="Times New Roman"/>
          <w:noProof/>
          <w:sz w:val="24"/>
          <w:szCs w:val="24"/>
        </w:rPr>
        <w:t>s, patient safety organizations, or quality improvement organizations (e.g. the V</w:t>
      </w:r>
      <w:r w:rsidR="002F2954">
        <w:rPr>
          <w:rFonts w:ascii="Cambria" w:eastAsia="Times New Roman" w:hAnsi="Cambria" w:cs="Times New Roman"/>
          <w:noProof/>
          <w:sz w:val="24"/>
          <w:szCs w:val="24"/>
        </w:rPr>
        <w:t xml:space="preserve">ermont </w:t>
      </w:r>
      <w:r w:rsidR="001675C8">
        <w:rPr>
          <w:rFonts w:ascii="Cambria" w:eastAsia="Times New Roman" w:hAnsi="Cambria" w:cs="Times New Roman"/>
          <w:noProof/>
          <w:sz w:val="24"/>
          <w:szCs w:val="24"/>
        </w:rPr>
        <w:t>Blueprint for Health).</w:t>
      </w:r>
    </w:p>
    <w:p w14:paraId="7314ECA4" w14:textId="6F00567D" w:rsidR="00636534" w:rsidRPr="0046027A" w:rsidRDefault="00636534" w:rsidP="00636534">
      <w:pPr>
        <w:pStyle w:val="ListParagraph"/>
        <w:numPr>
          <w:ilvl w:val="0"/>
          <w:numId w:val="11"/>
        </w:numPr>
        <w:ind w:right="720"/>
        <w:rPr>
          <w:rFonts w:ascii="Cambria" w:hAnsi="Cambria"/>
          <w:sz w:val="24"/>
          <w:szCs w:val="24"/>
        </w:rPr>
      </w:pPr>
      <w:r w:rsidRPr="0046027A">
        <w:rPr>
          <w:rFonts w:ascii="Cambria" w:eastAsia="Times New Roman" w:hAnsi="Cambria" w:cs="Times New Roman"/>
          <w:noProof/>
          <w:sz w:val="24"/>
          <w:szCs w:val="24"/>
        </w:rPr>
        <w:t xml:space="preserve">An EP can count </w:t>
      </w:r>
      <w:r w:rsidR="00B60453">
        <w:rPr>
          <w:rFonts w:ascii="Cambria" w:eastAsia="Times New Roman" w:hAnsi="Cambria" w:cs="Times New Roman"/>
          <w:noProof/>
          <w:sz w:val="24"/>
          <w:szCs w:val="24"/>
        </w:rPr>
        <w:t>S</w:t>
      </w:r>
      <w:r w:rsidRPr="0046027A">
        <w:rPr>
          <w:rFonts w:ascii="Cambria" w:eastAsia="Times New Roman" w:hAnsi="Cambria" w:cs="Times New Roman"/>
          <w:noProof/>
          <w:sz w:val="24"/>
          <w:szCs w:val="24"/>
        </w:rPr>
        <w:t xml:space="preserve">pecialized </w:t>
      </w:r>
      <w:r w:rsidR="00B60453">
        <w:rPr>
          <w:rFonts w:ascii="Cambria" w:eastAsia="Times New Roman" w:hAnsi="Cambria" w:cs="Times New Roman"/>
          <w:noProof/>
          <w:sz w:val="24"/>
          <w:szCs w:val="24"/>
        </w:rPr>
        <w:t>R</w:t>
      </w:r>
      <w:r w:rsidRPr="0046027A">
        <w:rPr>
          <w:rFonts w:ascii="Cambria" w:eastAsia="Times New Roman" w:hAnsi="Cambria" w:cs="Times New Roman"/>
          <w:noProof/>
          <w:sz w:val="24"/>
          <w:szCs w:val="24"/>
        </w:rPr>
        <w:t xml:space="preserve">egistry reporting more than once to meet the Public Health </w:t>
      </w:r>
      <w:r>
        <w:rPr>
          <w:rFonts w:ascii="Cambria" w:eastAsia="Times New Roman" w:hAnsi="Cambria" w:cs="Times New Roman"/>
          <w:noProof/>
          <w:sz w:val="24"/>
          <w:szCs w:val="24"/>
        </w:rPr>
        <w:t>o</w:t>
      </w:r>
      <w:r w:rsidRPr="0046027A">
        <w:rPr>
          <w:rFonts w:ascii="Cambria" w:eastAsia="Times New Roman" w:hAnsi="Cambria" w:cs="Times New Roman"/>
          <w:noProof/>
          <w:sz w:val="24"/>
          <w:szCs w:val="24"/>
        </w:rPr>
        <w:t xml:space="preserve">bjective, and MAPIR has two screens for </w:t>
      </w:r>
      <w:r w:rsidR="00B60453">
        <w:rPr>
          <w:rFonts w:ascii="Cambria" w:eastAsia="Times New Roman" w:hAnsi="Cambria" w:cs="Times New Roman"/>
          <w:noProof/>
          <w:sz w:val="24"/>
          <w:szCs w:val="24"/>
        </w:rPr>
        <w:t>S</w:t>
      </w:r>
      <w:r w:rsidRPr="0046027A">
        <w:rPr>
          <w:rFonts w:ascii="Cambria" w:eastAsia="Times New Roman" w:hAnsi="Cambria" w:cs="Times New Roman"/>
          <w:noProof/>
          <w:sz w:val="24"/>
          <w:szCs w:val="24"/>
        </w:rPr>
        <w:t xml:space="preserve">pecialized </w:t>
      </w:r>
      <w:r w:rsidR="00B60453">
        <w:rPr>
          <w:rFonts w:ascii="Cambria" w:eastAsia="Times New Roman" w:hAnsi="Cambria" w:cs="Times New Roman"/>
          <w:noProof/>
          <w:sz w:val="24"/>
          <w:szCs w:val="24"/>
        </w:rPr>
        <w:t>R</w:t>
      </w:r>
      <w:r w:rsidRPr="0046027A">
        <w:rPr>
          <w:rFonts w:ascii="Cambria" w:eastAsia="Times New Roman" w:hAnsi="Cambria" w:cs="Times New Roman"/>
          <w:noProof/>
          <w:sz w:val="24"/>
          <w:szCs w:val="24"/>
        </w:rPr>
        <w:t xml:space="preserve">egistry reporting: </w:t>
      </w:r>
    </w:p>
    <w:p w14:paraId="04C73675" w14:textId="77777777" w:rsidR="00636534" w:rsidRDefault="00636534" w:rsidP="00636534">
      <w:pPr>
        <w:pStyle w:val="ListParagraph"/>
        <w:numPr>
          <w:ilvl w:val="1"/>
          <w:numId w:val="11"/>
        </w:numPr>
        <w:ind w:right="720"/>
        <w:rPr>
          <w:rFonts w:ascii="Cambria" w:hAnsi="Cambria"/>
          <w:sz w:val="24"/>
          <w:szCs w:val="24"/>
        </w:rPr>
      </w:pPr>
      <w:r w:rsidRPr="0046027A">
        <w:rPr>
          <w:rFonts w:ascii="Cambria" w:hAnsi="Cambria"/>
          <w:sz w:val="24"/>
          <w:szCs w:val="24"/>
        </w:rPr>
        <w:t>Objective 10 Option 3A</w:t>
      </w:r>
      <w:r>
        <w:rPr>
          <w:rFonts w:ascii="Cambria" w:hAnsi="Cambria"/>
          <w:sz w:val="24"/>
          <w:szCs w:val="24"/>
        </w:rPr>
        <w:t>,</w:t>
      </w:r>
      <w:r w:rsidRPr="0046027A">
        <w:rPr>
          <w:rFonts w:ascii="Cambria" w:hAnsi="Cambria"/>
          <w:sz w:val="24"/>
          <w:szCs w:val="24"/>
        </w:rPr>
        <w:t xml:space="preserve"> and </w:t>
      </w:r>
    </w:p>
    <w:p w14:paraId="6980E91D" w14:textId="77777777" w:rsidR="00636534" w:rsidRPr="0046027A" w:rsidRDefault="00636534" w:rsidP="00636534">
      <w:pPr>
        <w:pStyle w:val="ListParagraph"/>
        <w:numPr>
          <w:ilvl w:val="1"/>
          <w:numId w:val="10"/>
        </w:numPr>
        <w:ind w:right="720"/>
        <w:rPr>
          <w:rFonts w:ascii="Cambria" w:eastAsia="Times New Roman" w:hAnsi="Cambria" w:cs="Times New Roman"/>
          <w:noProof/>
          <w:sz w:val="24"/>
          <w:szCs w:val="24"/>
        </w:rPr>
      </w:pPr>
      <w:r w:rsidRPr="0046027A">
        <w:rPr>
          <w:rFonts w:ascii="Cambria" w:hAnsi="Cambria"/>
          <w:sz w:val="24"/>
          <w:szCs w:val="24"/>
        </w:rPr>
        <w:t xml:space="preserve">Objective 10 Option 3B.  </w:t>
      </w:r>
    </w:p>
    <w:p w14:paraId="117BE9BC" w14:textId="77777777" w:rsidR="00636534" w:rsidRPr="0046027A" w:rsidRDefault="00636534" w:rsidP="00636534">
      <w:pPr>
        <w:pStyle w:val="ListParagraph"/>
        <w:numPr>
          <w:ilvl w:val="0"/>
          <w:numId w:val="10"/>
        </w:numPr>
        <w:ind w:right="720"/>
        <w:rPr>
          <w:rFonts w:ascii="Cambria" w:eastAsia="Times New Roman" w:hAnsi="Cambria" w:cs="Times New Roman"/>
          <w:noProof/>
          <w:sz w:val="24"/>
          <w:szCs w:val="24"/>
        </w:rPr>
      </w:pPr>
      <w:r w:rsidRPr="0046027A">
        <w:rPr>
          <w:rFonts w:ascii="Cambria" w:eastAsia="Times New Roman" w:hAnsi="Cambria" w:cs="Times New Roman"/>
          <w:noProof/>
          <w:sz w:val="24"/>
          <w:szCs w:val="24"/>
        </w:rPr>
        <w:t xml:space="preserve">If an EP answers ‘No’ to Option 3A, no data entry will be allowed for Option 3B. </w:t>
      </w:r>
    </w:p>
    <w:p w14:paraId="16D29E3D" w14:textId="77777777" w:rsidR="00A07FD3" w:rsidRPr="004476B5" w:rsidRDefault="00A07FD3" w:rsidP="00A07FD3">
      <w:pPr>
        <w:pStyle w:val="NoSpacing"/>
        <w:ind w:left="432" w:firstLine="432"/>
        <w:jc w:val="center"/>
        <w:rPr>
          <w:sz w:val="18"/>
          <w:szCs w:val="18"/>
        </w:rPr>
      </w:pPr>
      <w:r w:rsidRPr="004476B5">
        <w:rPr>
          <w:rFonts w:ascii="Cambria" w:hAnsi="Cambria"/>
          <w:noProof/>
          <w:sz w:val="18"/>
          <w:szCs w:val="18"/>
        </w:rPr>
        <w:t>Screenshot from MAPIR: Objective 10 Option 3A – Specialized Registry Reporting</w:t>
      </w:r>
    </w:p>
    <w:p w14:paraId="1CFAB1D4" w14:textId="0C04F918" w:rsidR="003B024A" w:rsidRDefault="009E2938" w:rsidP="00A07FD3">
      <w:pPr>
        <w:pStyle w:val="NoSpacing"/>
        <w:jc w:val="center"/>
      </w:pPr>
      <w:r>
        <w:rPr>
          <w:noProof/>
        </w:rPr>
        <w:drawing>
          <wp:inline distT="0" distB="0" distL="0" distR="0" wp14:anchorId="35D4D773" wp14:editId="1C9A075C">
            <wp:extent cx="6045571" cy="3971925"/>
            <wp:effectExtent l="19050" t="19050" r="1270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14364" cy="401712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093C728" w14:textId="77777777" w:rsidR="00724029" w:rsidRPr="00A07FD3" w:rsidRDefault="00724029" w:rsidP="00724029">
      <w:pPr>
        <w:pStyle w:val="NoSpacing"/>
        <w:rPr>
          <w:sz w:val="8"/>
          <w:szCs w:val="8"/>
        </w:rPr>
      </w:pPr>
    </w:p>
    <w:p w14:paraId="290D55EA" w14:textId="14764D6F" w:rsidR="00A07FD3" w:rsidRPr="004476B5" w:rsidRDefault="00A07FD3" w:rsidP="00A07FD3">
      <w:pPr>
        <w:pStyle w:val="NoSpacing"/>
        <w:ind w:left="432" w:firstLine="432"/>
        <w:jc w:val="center"/>
        <w:rPr>
          <w:sz w:val="18"/>
          <w:szCs w:val="18"/>
        </w:rPr>
      </w:pPr>
      <w:r w:rsidRPr="004476B5">
        <w:rPr>
          <w:rFonts w:ascii="Cambria" w:hAnsi="Cambria"/>
          <w:noProof/>
          <w:sz w:val="18"/>
          <w:szCs w:val="18"/>
        </w:rPr>
        <w:t>Screenshot from MAPIR: Objective 10 Option 3B – Specialized Registry Reporting</w:t>
      </w:r>
    </w:p>
    <w:p w14:paraId="1985498F" w14:textId="77777777" w:rsidR="00A07FD3" w:rsidRDefault="00E86383" w:rsidP="00A07FD3">
      <w:pPr>
        <w:pStyle w:val="NoSpacing"/>
        <w:jc w:val="center"/>
      </w:pPr>
      <w:r>
        <w:rPr>
          <w:noProof/>
        </w:rPr>
        <w:drawing>
          <wp:inline distT="0" distB="0" distL="0" distR="0" wp14:anchorId="3C354C27" wp14:editId="285884D2">
            <wp:extent cx="6076950" cy="2471166"/>
            <wp:effectExtent l="19050" t="19050" r="19050" b="2476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36497" cy="249538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F5ED07B" w14:textId="51003F03" w:rsidR="00A07FD3" w:rsidRDefault="00A07FD3">
      <w:r>
        <w:br w:type="page"/>
      </w:r>
    </w:p>
    <w:p w14:paraId="45346D9A" w14:textId="2F41234F" w:rsidR="00563147" w:rsidRDefault="00563147" w:rsidP="00A07FD3">
      <w:pPr>
        <w:pStyle w:val="NoSpacing"/>
      </w:pPr>
    </w:p>
    <w:tbl>
      <w:tblPr>
        <w:tblStyle w:val="TableGrid1"/>
        <w:tblW w:w="11070" w:type="dxa"/>
        <w:tblInd w:w="8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150"/>
        <w:gridCol w:w="1530"/>
        <w:gridCol w:w="3150"/>
        <w:gridCol w:w="3240"/>
      </w:tblGrid>
      <w:tr w:rsidR="00487B4C" w:rsidRPr="00665AF7" w14:paraId="2E05EE13" w14:textId="77777777" w:rsidTr="00332683">
        <w:trPr>
          <w:trHeight w:val="422"/>
        </w:trPr>
        <w:tc>
          <w:tcPr>
            <w:tcW w:w="3150" w:type="dxa"/>
            <w:vAlign w:val="center"/>
          </w:tcPr>
          <w:p w14:paraId="74BF7A28" w14:textId="77777777" w:rsidR="00487B4C" w:rsidRPr="00665AF7" w:rsidRDefault="00487B4C" w:rsidP="00487B4C">
            <w:pPr>
              <w:ind w:left="144" w:right="144"/>
              <w:jc w:val="center"/>
              <w:rPr>
                <w:b/>
                <w:color w:val="336699"/>
                <w:sz w:val="20"/>
                <w:szCs w:val="20"/>
              </w:rPr>
            </w:pPr>
            <w:r w:rsidRPr="00665AF7">
              <w:rPr>
                <w:b/>
                <w:color w:val="336699"/>
                <w:sz w:val="20"/>
                <w:szCs w:val="20"/>
              </w:rPr>
              <w:t>Eligible Professional</w:t>
            </w:r>
          </w:p>
          <w:p w14:paraId="70BE3635" w14:textId="77777777" w:rsidR="00487B4C" w:rsidRPr="00665AF7" w:rsidRDefault="00487B4C" w:rsidP="00487B4C">
            <w:pPr>
              <w:ind w:left="144" w:right="144"/>
              <w:jc w:val="center"/>
              <w:rPr>
                <w:b/>
                <w:color w:val="336699"/>
                <w:sz w:val="20"/>
                <w:szCs w:val="20"/>
              </w:rPr>
            </w:pPr>
            <w:r w:rsidRPr="00665AF7">
              <w:rPr>
                <w:b/>
                <w:color w:val="336699"/>
                <w:sz w:val="20"/>
                <w:szCs w:val="20"/>
              </w:rPr>
              <w:t xml:space="preserve"> Name(s)</w:t>
            </w:r>
          </w:p>
        </w:tc>
        <w:tc>
          <w:tcPr>
            <w:tcW w:w="1530" w:type="dxa"/>
            <w:vAlign w:val="center"/>
          </w:tcPr>
          <w:p w14:paraId="4C327BD3" w14:textId="77777777" w:rsidR="00487B4C" w:rsidRPr="00665AF7" w:rsidRDefault="00487B4C" w:rsidP="00487B4C">
            <w:pPr>
              <w:ind w:left="144" w:right="144"/>
              <w:jc w:val="center"/>
              <w:rPr>
                <w:b/>
                <w:color w:val="336699"/>
                <w:sz w:val="20"/>
                <w:szCs w:val="20"/>
              </w:rPr>
            </w:pPr>
            <w:r w:rsidRPr="00665AF7">
              <w:rPr>
                <w:b/>
                <w:color w:val="336699"/>
                <w:sz w:val="20"/>
                <w:szCs w:val="20"/>
              </w:rPr>
              <w:t>NPI</w:t>
            </w:r>
          </w:p>
        </w:tc>
        <w:tc>
          <w:tcPr>
            <w:tcW w:w="3150" w:type="dxa"/>
            <w:vAlign w:val="center"/>
          </w:tcPr>
          <w:p w14:paraId="72AE1140" w14:textId="5C9E412F" w:rsidR="00487B4C" w:rsidRPr="00665AF7" w:rsidRDefault="00487B4C" w:rsidP="004476B5">
            <w:pPr>
              <w:pStyle w:val="NoSpacing"/>
              <w:ind w:left="144" w:right="144"/>
              <w:jc w:val="center"/>
              <w:rPr>
                <w:b/>
                <w:color w:val="336699"/>
                <w:sz w:val="20"/>
                <w:szCs w:val="20"/>
              </w:rPr>
            </w:pPr>
            <w:r>
              <w:rPr>
                <w:b/>
                <w:color w:val="336699"/>
                <w:sz w:val="20"/>
                <w:szCs w:val="20"/>
              </w:rPr>
              <w:t xml:space="preserve">2018 </w:t>
            </w:r>
            <w:r w:rsidR="007E66EC">
              <w:rPr>
                <w:b/>
                <w:color w:val="336699"/>
                <w:sz w:val="20"/>
                <w:szCs w:val="20"/>
              </w:rPr>
              <w:t>EHR</w:t>
            </w:r>
            <w:r w:rsidR="00B95370">
              <w:rPr>
                <w:b/>
                <w:color w:val="336699"/>
                <w:sz w:val="20"/>
                <w:szCs w:val="20"/>
              </w:rPr>
              <w:t xml:space="preserve">/MU </w:t>
            </w:r>
            <w:r w:rsidR="007E66EC">
              <w:rPr>
                <w:b/>
                <w:color w:val="336699"/>
                <w:sz w:val="20"/>
                <w:szCs w:val="20"/>
              </w:rPr>
              <w:t xml:space="preserve">Reporting </w:t>
            </w:r>
            <w:r>
              <w:rPr>
                <w:b/>
                <w:color w:val="336699"/>
                <w:sz w:val="20"/>
                <w:szCs w:val="20"/>
              </w:rPr>
              <w:t>Period Dates</w:t>
            </w:r>
          </w:p>
        </w:tc>
        <w:tc>
          <w:tcPr>
            <w:tcW w:w="3240" w:type="dxa"/>
            <w:vAlign w:val="center"/>
          </w:tcPr>
          <w:p w14:paraId="1AD8C5A7" w14:textId="77777777" w:rsidR="00487B4C" w:rsidRPr="00665AF7" w:rsidRDefault="00487B4C" w:rsidP="00487B4C">
            <w:pPr>
              <w:ind w:left="144" w:right="144"/>
              <w:jc w:val="center"/>
              <w:rPr>
                <w:b/>
                <w:color w:val="336699"/>
                <w:sz w:val="20"/>
                <w:szCs w:val="20"/>
              </w:rPr>
            </w:pPr>
            <w:r>
              <w:rPr>
                <w:b/>
                <w:color w:val="336699"/>
                <w:sz w:val="20"/>
                <w:szCs w:val="20"/>
              </w:rPr>
              <w:t>Specialized Registry</w:t>
            </w:r>
            <w:r w:rsidRPr="00665AF7">
              <w:rPr>
                <w:b/>
                <w:color w:val="336699"/>
                <w:sz w:val="20"/>
                <w:szCs w:val="20"/>
              </w:rPr>
              <w:t xml:space="preserve"> </w:t>
            </w:r>
          </w:p>
          <w:p w14:paraId="092365D2" w14:textId="77777777" w:rsidR="00487B4C" w:rsidRPr="00665AF7" w:rsidRDefault="00487B4C" w:rsidP="00487B4C">
            <w:pPr>
              <w:ind w:left="144" w:right="144"/>
              <w:jc w:val="center"/>
              <w:rPr>
                <w:b/>
                <w:color w:val="336699"/>
                <w:sz w:val="20"/>
                <w:szCs w:val="20"/>
              </w:rPr>
            </w:pPr>
            <w:r w:rsidRPr="00665AF7">
              <w:rPr>
                <w:b/>
                <w:i/>
                <w:color w:val="336699"/>
                <w:sz w:val="20"/>
                <w:szCs w:val="20"/>
              </w:rPr>
              <w:t>Active Engagement</w:t>
            </w:r>
            <w:r w:rsidRPr="00665AF7">
              <w:rPr>
                <w:b/>
                <w:color w:val="336699"/>
                <w:sz w:val="20"/>
                <w:szCs w:val="20"/>
              </w:rPr>
              <w:t xml:space="preserve">  or</w:t>
            </w:r>
            <w:r w:rsidRPr="00665AF7">
              <w:rPr>
                <w:b/>
                <w:i/>
                <w:color w:val="336699"/>
                <w:sz w:val="20"/>
                <w:szCs w:val="20"/>
              </w:rPr>
              <w:t xml:space="preserve">  Exclusion</w:t>
            </w:r>
            <w:r w:rsidRPr="00665AF7">
              <w:rPr>
                <w:b/>
                <w:color w:val="336699"/>
                <w:sz w:val="20"/>
                <w:szCs w:val="20"/>
              </w:rPr>
              <w:t>?</w:t>
            </w:r>
          </w:p>
        </w:tc>
      </w:tr>
      <w:tr w:rsidR="00636534" w:rsidRPr="00665AF7" w14:paraId="6C67A5FE" w14:textId="77777777" w:rsidTr="00332683">
        <w:trPr>
          <w:trHeight w:val="494"/>
        </w:trPr>
        <w:tc>
          <w:tcPr>
            <w:tcW w:w="3150" w:type="dxa"/>
          </w:tcPr>
          <w:p w14:paraId="348B1F00" w14:textId="77777777" w:rsidR="00636534" w:rsidRPr="00665AF7" w:rsidRDefault="00636534" w:rsidP="0033268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8312382" w14:textId="77777777" w:rsidR="00636534" w:rsidRPr="00665AF7" w:rsidRDefault="00636534" w:rsidP="00332683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702C0A44" w14:textId="77777777" w:rsidR="00636534" w:rsidRPr="00665AF7" w:rsidRDefault="00636534" w:rsidP="00332683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492BCF3" w14:textId="77777777" w:rsidR="00636534" w:rsidRPr="00665AF7" w:rsidRDefault="00636534" w:rsidP="00332683">
            <w:pPr>
              <w:rPr>
                <w:sz w:val="20"/>
                <w:szCs w:val="20"/>
              </w:rPr>
            </w:pPr>
          </w:p>
        </w:tc>
      </w:tr>
      <w:tr w:rsidR="00636534" w:rsidRPr="00665AF7" w14:paraId="74B359DD" w14:textId="77777777" w:rsidTr="00332683">
        <w:trPr>
          <w:trHeight w:val="494"/>
        </w:trPr>
        <w:tc>
          <w:tcPr>
            <w:tcW w:w="3150" w:type="dxa"/>
          </w:tcPr>
          <w:p w14:paraId="5F57FACE" w14:textId="77777777" w:rsidR="00636534" w:rsidRPr="00665AF7" w:rsidRDefault="00636534" w:rsidP="0033268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D3DA2A7" w14:textId="77777777" w:rsidR="00636534" w:rsidRPr="00665AF7" w:rsidRDefault="00636534" w:rsidP="00332683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5095B722" w14:textId="77777777" w:rsidR="00636534" w:rsidRPr="00665AF7" w:rsidRDefault="00636534" w:rsidP="00332683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A9F84B8" w14:textId="77777777" w:rsidR="00636534" w:rsidRPr="00665AF7" w:rsidRDefault="00636534" w:rsidP="00332683">
            <w:pPr>
              <w:rPr>
                <w:sz w:val="20"/>
                <w:szCs w:val="20"/>
              </w:rPr>
            </w:pPr>
          </w:p>
        </w:tc>
      </w:tr>
      <w:tr w:rsidR="00636534" w:rsidRPr="00665AF7" w14:paraId="0F5182D0" w14:textId="77777777" w:rsidTr="00332683">
        <w:trPr>
          <w:trHeight w:val="494"/>
        </w:trPr>
        <w:tc>
          <w:tcPr>
            <w:tcW w:w="3150" w:type="dxa"/>
          </w:tcPr>
          <w:p w14:paraId="1F8B5704" w14:textId="77777777" w:rsidR="00636534" w:rsidRPr="00665AF7" w:rsidRDefault="00636534" w:rsidP="0033268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F96054D" w14:textId="77777777" w:rsidR="00636534" w:rsidRPr="00665AF7" w:rsidRDefault="00636534" w:rsidP="00332683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7956346F" w14:textId="77777777" w:rsidR="00636534" w:rsidRPr="00665AF7" w:rsidRDefault="00636534" w:rsidP="00332683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7B2681E1" w14:textId="77777777" w:rsidR="00636534" w:rsidRPr="00665AF7" w:rsidRDefault="00636534" w:rsidP="00332683">
            <w:pPr>
              <w:rPr>
                <w:sz w:val="20"/>
                <w:szCs w:val="20"/>
              </w:rPr>
            </w:pPr>
          </w:p>
        </w:tc>
      </w:tr>
      <w:tr w:rsidR="00636534" w:rsidRPr="00665AF7" w14:paraId="78076C20" w14:textId="77777777" w:rsidTr="00332683">
        <w:trPr>
          <w:trHeight w:val="494"/>
        </w:trPr>
        <w:tc>
          <w:tcPr>
            <w:tcW w:w="3150" w:type="dxa"/>
          </w:tcPr>
          <w:p w14:paraId="45141298" w14:textId="77777777" w:rsidR="00636534" w:rsidRPr="00665AF7" w:rsidRDefault="00636534" w:rsidP="0033268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E1A316E" w14:textId="77777777" w:rsidR="00636534" w:rsidRPr="00665AF7" w:rsidRDefault="00636534" w:rsidP="00332683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3DE70521" w14:textId="77777777" w:rsidR="00636534" w:rsidRPr="00665AF7" w:rsidRDefault="00636534" w:rsidP="00332683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62BC975B" w14:textId="77777777" w:rsidR="00636534" w:rsidRPr="00665AF7" w:rsidRDefault="00636534" w:rsidP="00332683">
            <w:pPr>
              <w:rPr>
                <w:sz w:val="20"/>
                <w:szCs w:val="20"/>
              </w:rPr>
            </w:pPr>
          </w:p>
        </w:tc>
      </w:tr>
      <w:tr w:rsidR="00636534" w:rsidRPr="00665AF7" w14:paraId="60E3CDAC" w14:textId="77777777" w:rsidTr="00332683">
        <w:trPr>
          <w:trHeight w:val="494"/>
        </w:trPr>
        <w:tc>
          <w:tcPr>
            <w:tcW w:w="3150" w:type="dxa"/>
          </w:tcPr>
          <w:p w14:paraId="4FCC014F" w14:textId="77777777" w:rsidR="00636534" w:rsidRPr="00665AF7" w:rsidRDefault="00636534" w:rsidP="00332683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05B0CF0" w14:textId="77777777" w:rsidR="00636534" w:rsidRPr="00665AF7" w:rsidRDefault="00636534" w:rsidP="00332683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200C39D7" w14:textId="77777777" w:rsidR="00636534" w:rsidRPr="00665AF7" w:rsidRDefault="00636534" w:rsidP="00332683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14:paraId="1013C11A" w14:textId="77777777" w:rsidR="00636534" w:rsidRPr="00665AF7" w:rsidRDefault="00636534" w:rsidP="00332683">
            <w:pPr>
              <w:rPr>
                <w:sz w:val="20"/>
                <w:szCs w:val="20"/>
              </w:rPr>
            </w:pPr>
          </w:p>
        </w:tc>
      </w:tr>
    </w:tbl>
    <w:p w14:paraId="6A14F3E9" w14:textId="77777777" w:rsidR="00636534" w:rsidRPr="00665AF7" w:rsidRDefault="00636534" w:rsidP="00636534">
      <w:pPr>
        <w:pStyle w:val="NoSpacing"/>
        <w:rPr>
          <w:sz w:val="8"/>
          <w:szCs w:val="8"/>
        </w:rPr>
      </w:pPr>
      <w:bookmarkStart w:id="1" w:name="_Hlk526948432"/>
    </w:p>
    <w:p w14:paraId="40DE202A" w14:textId="538813F6" w:rsidR="00636534" w:rsidRDefault="00636534" w:rsidP="00636534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0B5D1B">
        <w:rPr>
          <w:b/>
          <w:i/>
          <w:sz w:val="20"/>
          <w:szCs w:val="20"/>
        </w:rPr>
        <w:t>Use Page 5</w:t>
      </w:r>
      <w:r w:rsidR="00FA7EC7">
        <w:rPr>
          <w:b/>
          <w:i/>
          <w:sz w:val="20"/>
          <w:szCs w:val="20"/>
        </w:rPr>
        <w:t xml:space="preserve"> </w:t>
      </w:r>
      <w:r w:rsidRPr="00665AF7">
        <w:rPr>
          <w:b/>
          <w:i/>
          <w:sz w:val="20"/>
          <w:szCs w:val="20"/>
        </w:rPr>
        <w:t>to list more providers, if needed</w:t>
      </w:r>
      <w:r w:rsidR="004E60F7">
        <w:rPr>
          <w:b/>
          <w:sz w:val="20"/>
          <w:szCs w:val="20"/>
        </w:rPr>
        <w:t>.</w:t>
      </w:r>
    </w:p>
    <w:p w14:paraId="1D0BDECB" w14:textId="6B6ED135" w:rsidR="004E60F7" w:rsidRDefault="004E60F7" w:rsidP="004E60F7">
      <w:pPr>
        <w:pStyle w:val="NoSpacing"/>
      </w:pPr>
      <w:r>
        <w:t xml:space="preserve">  </w:t>
      </w:r>
    </w:p>
    <w:tbl>
      <w:tblPr>
        <w:tblStyle w:val="TableGrid2"/>
        <w:tblW w:w="11050" w:type="dxa"/>
        <w:tblInd w:w="10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580"/>
        <w:gridCol w:w="7470"/>
      </w:tblGrid>
      <w:tr w:rsidR="00665AF7" w:rsidRPr="00254926" w14:paraId="2FD4CA60" w14:textId="77777777" w:rsidTr="00A0543A">
        <w:trPr>
          <w:trHeight w:val="39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75D7E19" w14:textId="1E56276A" w:rsidR="00665AF7" w:rsidRPr="00254926" w:rsidRDefault="00665AF7" w:rsidP="00665A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54926">
              <w:rPr>
                <w:rFonts w:ascii="Cambria" w:hAnsi="Cambria"/>
                <w:b/>
                <w:sz w:val="24"/>
                <w:szCs w:val="24"/>
              </w:rPr>
              <w:t>Active Engagement Option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8BB2DB2" w14:textId="77777777" w:rsidR="00665AF7" w:rsidRPr="00254926" w:rsidRDefault="00665AF7" w:rsidP="00665AF7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254926">
              <w:rPr>
                <w:rFonts w:ascii="Cambria" w:hAnsi="Cambria"/>
                <w:b/>
                <w:sz w:val="24"/>
                <w:szCs w:val="24"/>
              </w:rPr>
              <w:t>Description of Supporting Documentation</w:t>
            </w:r>
          </w:p>
        </w:tc>
      </w:tr>
      <w:tr w:rsidR="00665AF7" w:rsidRPr="00665AF7" w14:paraId="225F004A" w14:textId="77777777" w:rsidTr="004E60F7">
        <w:trPr>
          <w:trHeight w:val="294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48E02" w14:textId="77777777" w:rsidR="00665AF7" w:rsidRPr="000B5D1B" w:rsidRDefault="00665AF7" w:rsidP="00665AF7">
            <w:pPr>
              <w:ind w:left="288" w:hanging="288"/>
              <w:rPr>
                <w:sz w:val="20"/>
                <w:szCs w:val="20"/>
              </w:rPr>
            </w:pPr>
            <w:r w:rsidRPr="000B5D1B">
              <w:rPr>
                <w:sz w:val="20"/>
                <w:szCs w:val="20"/>
              </w:rPr>
              <w:t>1. Completed registration to submit data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A0FE" w14:textId="339DFB5F" w:rsidR="00665AF7" w:rsidRPr="00636C4D" w:rsidRDefault="00563147" w:rsidP="00665AF7">
            <w:pPr>
              <w:rPr>
                <w:b/>
                <w:sz w:val="20"/>
                <w:szCs w:val="20"/>
              </w:rPr>
            </w:pPr>
            <w:r w:rsidRPr="00636C4D">
              <w:rPr>
                <w:b/>
                <w:sz w:val="20"/>
                <w:szCs w:val="20"/>
              </w:rPr>
              <w:t xml:space="preserve">(Examples: </w:t>
            </w:r>
            <w:r w:rsidR="00665AF7" w:rsidRPr="00636C4D">
              <w:rPr>
                <w:b/>
                <w:sz w:val="20"/>
                <w:szCs w:val="20"/>
              </w:rPr>
              <w:t>Registrati</w:t>
            </w:r>
            <w:r w:rsidRPr="00636C4D">
              <w:rPr>
                <w:b/>
                <w:sz w:val="20"/>
                <w:szCs w:val="20"/>
              </w:rPr>
              <w:t xml:space="preserve">on form, communications from </w:t>
            </w:r>
            <w:r w:rsidR="00665AF7" w:rsidRPr="00636C4D">
              <w:rPr>
                <w:b/>
                <w:sz w:val="20"/>
                <w:szCs w:val="20"/>
              </w:rPr>
              <w:t>registry acknowledging registration</w:t>
            </w:r>
            <w:r w:rsidR="00254926" w:rsidRPr="00636C4D">
              <w:rPr>
                <w:b/>
                <w:sz w:val="20"/>
                <w:szCs w:val="20"/>
              </w:rPr>
              <w:t xml:space="preserve"> </w:t>
            </w:r>
            <w:r w:rsidR="00A07FD3" w:rsidRPr="00636C4D">
              <w:rPr>
                <w:b/>
                <w:sz w:val="20"/>
                <w:szCs w:val="20"/>
              </w:rPr>
              <w:t xml:space="preserve">or confirming </w:t>
            </w:r>
            <w:r w:rsidR="00665AF7" w:rsidRPr="00636C4D">
              <w:rPr>
                <w:b/>
                <w:sz w:val="20"/>
                <w:szCs w:val="20"/>
              </w:rPr>
              <w:t>good standing for PY2018 EHR</w:t>
            </w:r>
            <w:r w:rsidR="00B95370">
              <w:rPr>
                <w:b/>
                <w:sz w:val="20"/>
                <w:szCs w:val="20"/>
              </w:rPr>
              <w:t>/MU</w:t>
            </w:r>
            <w:r w:rsidR="00665AF7" w:rsidRPr="00636C4D">
              <w:rPr>
                <w:b/>
                <w:sz w:val="20"/>
                <w:szCs w:val="20"/>
              </w:rPr>
              <w:t xml:space="preserve"> Reporting Period.) </w:t>
            </w:r>
          </w:p>
          <w:p w14:paraId="353507F1" w14:textId="77777777" w:rsidR="00665AF7" w:rsidRPr="00636C4D" w:rsidRDefault="00665AF7" w:rsidP="00665AF7">
            <w:pPr>
              <w:rPr>
                <w:b/>
                <w:sz w:val="20"/>
                <w:szCs w:val="20"/>
              </w:rPr>
            </w:pPr>
          </w:p>
          <w:p w14:paraId="4E7E6FF5" w14:textId="77777777" w:rsidR="00665AF7" w:rsidRPr="00636C4D" w:rsidRDefault="00665AF7" w:rsidP="00665AF7">
            <w:pPr>
              <w:rPr>
                <w:b/>
                <w:sz w:val="20"/>
                <w:szCs w:val="20"/>
              </w:rPr>
            </w:pPr>
          </w:p>
          <w:p w14:paraId="6399E7D0" w14:textId="77777777" w:rsidR="00665AF7" w:rsidRPr="00636C4D" w:rsidRDefault="00665AF7" w:rsidP="00665AF7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</w:tr>
      <w:tr w:rsidR="00665AF7" w:rsidRPr="00665AF7" w14:paraId="61EFD099" w14:textId="77777777" w:rsidTr="004E60F7">
        <w:trPr>
          <w:trHeight w:val="294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AD5AD" w14:textId="77777777" w:rsidR="00665AF7" w:rsidRPr="000B5D1B" w:rsidRDefault="00665AF7" w:rsidP="00665AF7">
            <w:pPr>
              <w:rPr>
                <w:sz w:val="20"/>
                <w:szCs w:val="20"/>
              </w:rPr>
            </w:pPr>
            <w:r w:rsidRPr="000B5D1B">
              <w:rPr>
                <w:sz w:val="20"/>
                <w:szCs w:val="20"/>
              </w:rPr>
              <w:t>2. Testing and validation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0991" w14:textId="22D3CAFA" w:rsidR="00665AF7" w:rsidRPr="00636C4D" w:rsidRDefault="00563147" w:rsidP="00665AF7">
            <w:pPr>
              <w:rPr>
                <w:b/>
                <w:sz w:val="20"/>
                <w:szCs w:val="20"/>
              </w:rPr>
            </w:pPr>
            <w:r w:rsidRPr="00636C4D">
              <w:rPr>
                <w:b/>
                <w:sz w:val="20"/>
                <w:szCs w:val="20"/>
              </w:rPr>
              <w:t xml:space="preserve">(Examples: Dated letter, email or </w:t>
            </w:r>
            <w:r w:rsidR="00665AF7" w:rsidRPr="00636C4D">
              <w:rPr>
                <w:b/>
                <w:sz w:val="20"/>
                <w:szCs w:val="20"/>
              </w:rPr>
              <w:t>scr</w:t>
            </w:r>
            <w:r w:rsidR="00254926" w:rsidRPr="00636C4D">
              <w:rPr>
                <w:b/>
                <w:sz w:val="20"/>
                <w:szCs w:val="20"/>
              </w:rPr>
              <w:t xml:space="preserve">eenshot </w:t>
            </w:r>
            <w:r w:rsidRPr="00636C4D">
              <w:rPr>
                <w:b/>
                <w:sz w:val="20"/>
                <w:szCs w:val="20"/>
              </w:rPr>
              <w:t xml:space="preserve">from the </w:t>
            </w:r>
            <w:r w:rsidR="00665AF7" w:rsidRPr="00636C4D">
              <w:rPr>
                <w:b/>
                <w:sz w:val="20"/>
                <w:szCs w:val="20"/>
              </w:rPr>
              <w:t>registry acknowledging testing. If Test Date is before 2018, include description of ongoing testing during 2018</w:t>
            </w:r>
            <w:r w:rsidR="004E6EF7">
              <w:rPr>
                <w:b/>
                <w:sz w:val="20"/>
                <w:szCs w:val="20"/>
              </w:rPr>
              <w:t xml:space="preserve"> EHR</w:t>
            </w:r>
            <w:r w:rsidR="00B95370">
              <w:rPr>
                <w:b/>
                <w:sz w:val="20"/>
                <w:szCs w:val="20"/>
              </w:rPr>
              <w:t>/MU</w:t>
            </w:r>
            <w:r w:rsidR="004E6EF7">
              <w:rPr>
                <w:b/>
                <w:sz w:val="20"/>
                <w:szCs w:val="20"/>
              </w:rPr>
              <w:t xml:space="preserve"> Reporting Period</w:t>
            </w:r>
            <w:r w:rsidR="00665AF7" w:rsidRPr="00636C4D">
              <w:rPr>
                <w:b/>
                <w:sz w:val="20"/>
                <w:szCs w:val="20"/>
              </w:rPr>
              <w:t>.)</w:t>
            </w:r>
          </w:p>
        </w:tc>
      </w:tr>
      <w:tr w:rsidR="00665AF7" w:rsidRPr="00665AF7" w14:paraId="111E530D" w14:textId="77777777" w:rsidTr="004E60F7">
        <w:trPr>
          <w:trHeight w:val="294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5E04" w14:textId="77777777" w:rsidR="00665AF7" w:rsidRPr="000B5D1B" w:rsidRDefault="00665AF7" w:rsidP="00665AF7">
            <w:pPr>
              <w:rPr>
                <w:sz w:val="20"/>
                <w:szCs w:val="20"/>
              </w:rPr>
            </w:pPr>
            <w:r w:rsidRPr="000B5D1B">
              <w:rPr>
                <w:sz w:val="20"/>
                <w:szCs w:val="20"/>
              </w:rPr>
              <w:t>3. Production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9086" w14:textId="10CA35B4" w:rsidR="00665AF7" w:rsidRPr="00636C4D" w:rsidRDefault="00665AF7" w:rsidP="00665AF7">
            <w:pPr>
              <w:rPr>
                <w:b/>
                <w:sz w:val="20"/>
                <w:szCs w:val="20"/>
              </w:rPr>
            </w:pPr>
            <w:r w:rsidRPr="00636C4D">
              <w:rPr>
                <w:b/>
                <w:sz w:val="20"/>
                <w:szCs w:val="20"/>
              </w:rPr>
              <w:t>(Examples: Dated record of the transmission/transaction log, letter or email from the registry acknowledging submission of production data</w:t>
            </w:r>
            <w:r w:rsidR="004E6EF7">
              <w:rPr>
                <w:b/>
                <w:sz w:val="20"/>
                <w:szCs w:val="20"/>
              </w:rPr>
              <w:t xml:space="preserve"> during 2018 EHR</w:t>
            </w:r>
            <w:r w:rsidR="00B95370">
              <w:rPr>
                <w:b/>
                <w:sz w:val="20"/>
                <w:szCs w:val="20"/>
              </w:rPr>
              <w:t>/MU</w:t>
            </w:r>
            <w:r w:rsidR="004E6EF7">
              <w:rPr>
                <w:b/>
                <w:sz w:val="20"/>
                <w:szCs w:val="20"/>
              </w:rPr>
              <w:t xml:space="preserve"> Reporting Period</w:t>
            </w:r>
            <w:r w:rsidRPr="00636C4D">
              <w:rPr>
                <w:b/>
                <w:sz w:val="20"/>
                <w:szCs w:val="20"/>
              </w:rPr>
              <w:t>.)</w:t>
            </w:r>
          </w:p>
        </w:tc>
      </w:tr>
      <w:tr w:rsidR="00665AF7" w:rsidRPr="00665AF7" w14:paraId="60542A57" w14:textId="77777777" w:rsidTr="00A0543A">
        <w:trPr>
          <w:trHeight w:val="323"/>
        </w:trPr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3D0B00F" w14:textId="77777777" w:rsidR="00665AF7" w:rsidRDefault="00665AF7" w:rsidP="00665AF7">
            <w:pPr>
              <w:jc w:val="center"/>
              <w:rPr>
                <w:b/>
                <w:sz w:val="20"/>
                <w:szCs w:val="20"/>
              </w:rPr>
            </w:pPr>
            <w:r w:rsidRPr="00665AF7">
              <w:rPr>
                <w:b/>
                <w:sz w:val="20"/>
                <w:szCs w:val="20"/>
                <w:highlight w:val="yellow"/>
              </w:rPr>
              <w:t>Upload</w:t>
            </w:r>
            <w:r w:rsidRPr="00665AF7">
              <w:rPr>
                <w:b/>
                <w:sz w:val="20"/>
                <w:szCs w:val="20"/>
              </w:rPr>
              <w:t xml:space="preserve"> the documentation to the provider attestation(s) in MAPIR or </w:t>
            </w:r>
            <w:r w:rsidRPr="00665AF7">
              <w:rPr>
                <w:b/>
                <w:sz w:val="20"/>
                <w:szCs w:val="20"/>
                <w:highlight w:val="yellow"/>
              </w:rPr>
              <w:t>email</w:t>
            </w:r>
            <w:r w:rsidRPr="00665AF7">
              <w:rPr>
                <w:b/>
                <w:sz w:val="20"/>
                <w:szCs w:val="20"/>
              </w:rPr>
              <w:t xml:space="preserve"> it to </w:t>
            </w:r>
            <w:hyperlink r:id="rId16" w:history="1">
              <w:r w:rsidRPr="00665AF7">
                <w:rPr>
                  <w:b/>
                  <w:color w:val="0563C1" w:themeColor="hyperlink"/>
                  <w:sz w:val="20"/>
                  <w:szCs w:val="20"/>
                  <w:u w:val="single"/>
                </w:rPr>
                <w:t>ahs.dvhaEHRIP@vermont.gov</w:t>
              </w:r>
            </w:hyperlink>
            <w:r w:rsidRPr="00665AF7">
              <w:rPr>
                <w:b/>
                <w:sz w:val="20"/>
                <w:szCs w:val="20"/>
              </w:rPr>
              <w:t xml:space="preserve"> </w:t>
            </w:r>
          </w:p>
          <w:p w14:paraId="16876658" w14:textId="77777777" w:rsidR="004E60F7" w:rsidRDefault="004E60F7" w:rsidP="004E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NOTE: Attesting to Active Engagement with the Blueprint for Health’s Vermont Clinical Registry </w:t>
            </w:r>
          </w:p>
          <w:p w14:paraId="5364E28D" w14:textId="3535C89D" w:rsidR="004E60F7" w:rsidRPr="00665AF7" w:rsidRDefault="004E60F7" w:rsidP="004E60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NOT</w:t>
            </w:r>
            <w:r w:rsidR="00BF182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require documentation at the time of attestation.</w:t>
            </w:r>
          </w:p>
        </w:tc>
      </w:tr>
      <w:bookmarkEnd w:id="1"/>
    </w:tbl>
    <w:p w14:paraId="304C113D" w14:textId="77777777" w:rsidR="00724029" w:rsidRDefault="00724029" w:rsidP="00724029">
      <w:pPr>
        <w:pStyle w:val="NoSpacing"/>
      </w:pPr>
    </w:p>
    <w:p w14:paraId="713E247A" w14:textId="77777777" w:rsidR="00724029" w:rsidRDefault="00724029" w:rsidP="00724029">
      <w:pPr>
        <w:pStyle w:val="NoSpacing"/>
      </w:pPr>
    </w:p>
    <w:p w14:paraId="7B0EC81F" w14:textId="77777777" w:rsidR="003B024A" w:rsidRDefault="003B024A" w:rsidP="003B024A">
      <w:pPr>
        <w:pStyle w:val="NoSpacing"/>
      </w:pPr>
    </w:p>
    <w:tbl>
      <w:tblPr>
        <w:tblStyle w:val="TableGrid3"/>
        <w:tblW w:w="11050" w:type="dxa"/>
        <w:tblInd w:w="10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3580"/>
        <w:gridCol w:w="7470"/>
      </w:tblGrid>
      <w:tr w:rsidR="00254926" w:rsidRPr="00254926" w14:paraId="6BF75B63" w14:textId="77777777" w:rsidTr="00236A1E">
        <w:trPr>
          <w:trHeight w:val="39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3686245" w14:textId="77777777" w:rsidR="00254926" w:rsidRPr="00254926" w:rsidRDefault="00254926" w:rsidP="00254926">
            <w:pPr>
              <w:jc w:val="center"/>
              <w:rPr>
                <w:b/>
                <w:sz w:val="20"/>
                <w:szCs w:val="20"/>
              </w:rPr>
            </w:pPr>
            <w:r w:rsidRPr="00254926">
              <w:rPr>
                <w:b/>
                <w:sz w:val="20"/>
                <w:szCs w:val="20"/>
              </w:rPr>
              <w:t>Exclusion Option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68EB660" w14:textId="6952F25D" w:rsidR="00254926" w:rsidRPr="00254926" w:rsidRDefault="00254926" w:rsidP="00254926">
            <w:pPr>
              <w:jc w:val="center"/>
              <w:rPr>
                <w:b/>
                <w:sz w:val="20"/>
                <w:szCs w:val="20"/>
              </w:rPr>
            </w:pPr>
            <w:r w:rsidRPr="00254926">
              <w:rPr>
                <w:b/>
                <w:sz w:val="20"/>
                <w:szCs w:val="20"/>
              </w:rPr>
              <w:t xml:space="preserve">Description of </w:t>
            </w:r>
            <w:r w:rsidR="00611FDA">
              <w:rPr>
                <w:b/>
                <w:sz w:val="20"/>
                <w:szCs w:val="20"/>
              </w:rPr>
              <w:t xml:space="preserve">Suggested </w:t>
            </w:r>
            <w:r w:rsidRPr="00254926">
              <w:rPr>
                <w:b/>
                <w:sz w:val="20"/>
                <w:szCs w:val="20"/>
              </w:rPr>
              <w:t>Supporting Documentation</w:t>
            </w:r>
          </w:p>
        </w:tc>
      </w:tr>
      <w:tr w:rsidR="00254926" w:rsidRPr="00254926" w14:paraId="001E2CE1" w14:textId="77777777" w:rsidTr="008167B4">
        <w:trPr>
          <w:trHeight w:val="2843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CEFE" w14:textId="0F32A82C" w:rsidR="00254926" w:rsidRPr="00254926" w:rsidRDefault="00254926" w:rsidP="00254926">
            <w:pPr>
              <w:ind w:left="144" w:hanging="144"/>
              <w:rPr>
                <w:sz w:val="20"/>
                <w:szCs w:val="20"/>
              </w:rPr>
            </w:pPr>
            <w:r w:rsidRPr="00254926">
              <w:rPr>
                <w:sz w:val="20"/>
                <w:szCs w:val="20"/>
              </w:rPr>
              <w:t xml:space="preserve">1. Does not </w:t>
            </w:r>
            <w:r w:rsidRPr="00236A1E">
              <w:rPr>
                <w:sz w:val="20"/>
                <w:szCs w:val="20"/>
              </w:rPr>
              <w:t>diagnose or treat any disease or condition associated with, or collect relevant data that is required by,</w:t>
            </w:r>
            <w:r w:rsidR="00236A1E" w:rsidRPr="00236A1E">
              <w:rPr>
                <w:sz w:val="20"/>
                <w:szCs w:val="20"/>
              </w:rPr>
              <w:t xml:space="preserve"> a specialized registry in their jurisdiction during the EHR reporting period</w:t>
            </w:r>
            <w:r w:rsidR="001573D2">
              <w:rPr>
                <w:sz w:val="20"/>
                <w:szCs w:val="20"/>
              </w:rPr>
              <w:t>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FA692" w14:textId="2555D82D" w:rsidR="00236A1E" w:rsidRDefault="00236A1E" w:rsidP="00254926">
            <w:pPr>
              <w:rPr>
                <w:b/>
                <w:sz w:val="20"/>
                <w:szCs w:val="20"/>
              </w:rPr>
            </w:pPr>
            <w:r w:rsidRPr="000B5D1B">
              <w:rPr>
                <w:b/>
                <w:sz w:val="20"/>
                <w:szCs w:val="20"/>
              </w:rPr>
              <w:t>Sample supporting documentation statements</w:t>
            </w:r>
            <w:r w:rsidR="002C3D38">
              <w:rPr>
                <w:b/>
                <w:sz w:val="20"/>
                <w:szCs w:val="20"/>
              </w:rPr>
              <w:t xml:space="preserve"> (use page 5 to submit</w:t>
            </w:r>
            <w:r w:rsidR="00BF1823">
              <w:rPr>
                <w:b/>
                <w:sz w:val="20"/>
                <w:szCs w:val="20"/>
              </w:rPr>
              <w:t>)</w:t>
            </w:r>
            <w:r w:rsidRPr="000B5D1B">
              <w:rPr>
                <w:b/>
                <w:sz w:val="20"/>
                <w:szCs w:val="20"/>
              </w:rPr>
              <w:t>:</w:t>
            </w:r>
          </w:p>
          <w:p w14:paraId="051C1C8D" w14:textId="77777777" w:rsidR="008167B4" w:rsidRPr="000B5D1B" w:rsidRDefault="008167B4" w:rsidP="00254926">
            <w:pPr>
              <w:rPr>
                <w:b/>
                <w:sz w:val="20"/>
                <w:szCs w:val="20"/>
              </w:rPr>
            </w:pPr>
          </w:p>
          <w:p w14:paraId="0914E0D4" w14:textId="77777777" w:rsidR="00236A1E" w:rsidRPr="00236A1E" w:rsidRDefault="00236A1E" w:rsidP="00254926">
            <w:pPr>
              <w:rPr>
                <w:sz w:val="20"/>
                <w:szCs w:val="20"/>
              </w:rPr>
            </w:pPr>
          </w:p>
          <w:p w14:paraId="049BB63A" w14:textId="77777777" w:rsidR="00662F08" w:rsidRDefault="00236A1E" w:rsidP="00254926">
            <w:pPr>
              <w:rPr>
                <w:sz w:val="20"/>
                <w:szCs w:val="20"/>
              </w:rPr>
            </w:pPr>
            <w:r w:rsidRPr="00236A1E">
              <w:rPr>
                <w:sz w:val="20"/>
                <w:szCs w:val="20"/>
              </w:rPr>
              <w:t xml:space="preserve">Vermont EP:  </w:t>
            </w:r>
            <w:r w:rsidR="00254926" w:rsidRPr="00254926">
              <w:rPr>
                <w:sz w:val="20"/>
                <w:szCs w:val="20"/>
              </w:rPr>
              <w:t xml:space="preserve"> </w:t>
            </w:r>
            <w:r w:rsidRPr="00236A1E">
              <w:rPr>
                <w:sz w:val="20"/>
                <w:szCs w:val="20"/>
              </w:rPr>
              <w:t xml:space="preserve">“The Vermont Department of Health does not currently have a Specialized Registry </w:t>
            </w:r>
            <w:r w:rsidRPr="00236A1E">
              <w:rPr>
                <w:sz w:val="20"/>
                <w:szCs w:val="20"/>
                <w:highlight w:val="yellow"/>
              </w:rPr>
              <w:t>AND</w:t>
            </w:r>
            <w:r w:rsidRPr="00236A1E">
              <w:rPr>
                <w:sz w:val="20"/>
                <w:szCs w:val="20"/>
              </w:rPr>
              <w:t xml:space="preserve"> I do not belong to any medical/specialty societies.” </w:t>
            </w:r>
          </w:p>
          <w:p w14:paraId="5B069AA6" w14:textId="28F1BAD6" w:rsidR="00254926" w:rsidRPr="00662F08" w:rsidRDefault="00236A1E" w:rsidP="00254926">
            <w:pPr>
              <w:rPr>
                <w:b/>
                <w:sz w:val="20"/>
                <w:szCs w:val="20"/>
              </w:rPr>
            </w:pPr>
            <w:r w:rsidRPr="00662F08">
              <w:rPr>
                <w:b/>
                <w:sz w:val="20"/>
                <w:szCs w:val="20"/>
              </w:rPr>
              <w:t xml:space="preserve">Include </w:t>
            </w:r>
            <w:r w:rsidRPr="00662F08">
              <w:rPr>
                <w:b/>
                <w:sz w:val="20"/>
                <w:szCs w:val="20"/>
                <w:highlight w:val="yellow"/>
              </w:rPr>
              <w:t>signature</w:t>
            </w:r>
            <w:r w:rsidRPr="00662F08">
              <w:rPr>
                <w:b/>
                <w:sz w:val="20"/>
                <w:szCs w:val="20"/>
              </w:rPr>
              <w:t xml:space="preserve"> and EHR</w:t>
            </w:r>
            <w:r w:rsidR="00B95370">
              <w:rPr>
                <w:b/>
                <w:sz w:val="20"/>
                <w:szCs w:val="20"/>
              </w:rPr>
              <w:t>/MU</w:t>
            </w:r>
            <w:r w:rsidRPr="00662F08">
              <w:rPr>
                <w:b/>
                <w:sz w:val="20"/>
                <w:szCs w:val="20"/>
              </w:rPr>
              <w:t xml:space="preserve"> Reporting Period.</w:t>
            </w:r>
          </w:p>
          <w:p w14:paraId="2767AADF" w14:textId="77777777" w:rsidR="00254926" w:rsidRPr="00236A1E" w:rsidRDefault="00254926" w:rsidP="00254926">
            <w:pPr>
              <w:rPr>
                <w:sz w:val="20"/>
                <w:szCs w:val="20"/>
              </w:rPr>
            </w:pPr>
          </w:p>
          <w:p w14:paraId="50435917" w14:textId="77777777" w:rsidR="000B5D1B" w:rsidRDefault="00236A1E" w:rsidP="00254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 EP</w:t>
            </w:r>
            <w:r w:rsidRPr="00236A1E">
              <w:rPr>
                <w:sz w:val="20"/>
                <w:szCs w:val="20"/>
              </w:rPr>
              <w:t xml:space="preserve">: “The New Hampshire Department of Health and Human Services Cancer Registry is not relevant to my scope of practice because __________ (please provide brief explanation) AND I do not belong to any specialty or medical societies.”  </w:t>
            </w:r>
          </w:p>
          <w:p w14:paraId="02197831" w14:textId="77777777" w:rsidR="00254926" w:rsidRDefault="00236A1E" w:rsidP="00254926">
            <w:pPr>
              <w:rPr>
                <w:b/>
                <w:sz w:val="20"/>
                <w:szCs w:val="20"/>
              </w:rPr>
            </w:pPr>
            <w:r w:rsidRPr="000B5D1B">
              <w:rPr>
                <w:b/>
                <w:sz w:val="20"/>
                <w:szCs w:val="20"/>
              </w:rPr>
              <w:t xml:space="preserve">Include </w:t>
            </w:r>
            <w:r w:rsidRPr="000B5D1B">
              <w:rPr>
                <w:b/>
                <w:sz w:val="20"/>
                <w:szCs w:val="20"/>
                <w:highlight w:val="yellow"/>
              </w:rPr>
              <w:t>signature</w:t>
            </w:r>
            <w:r w:rsidRPr="000B5D1B">
              <w:rPr>
                <w:b/>
                <w:sz w:val="20"/>
                <w:szCs w:val="20"/>
              </w:rPr>
              <w:t xml:space="preserve"> and </w:t>
            </w:r>
            <w:r w:rsidR="00B95370">
              <w:rPr>
                <w:b/>
                <w:sz w:val="20"/>
                <w:szCs w:val="20"/>
              </w:rPr>
              <w:t>EHR/MU</w:t>
            </w:r>
            <w:r w:rsidRPr="000B5D1B">
              <w:rPr>
                <w:b/>
                <w:sz w:val="20"/>
                <w:szCs w:val="20"/>
              </w:rPr>
              <w:t xml:space="preserve"> Reporting Period.</w:t>
            </w:r>
          </w:p>
          <w:p w14:paraId="263FFEC9" w14:textId="2DFA9B02" w:rsidR="00AC550A" w:rsidRPr="000B5D1B" w:rsidRDefault="00AC550A" w:rsidP="00254926">
            <w:pPr>
              <w:rPr>
                <w:b/>
                <w:sz w:val="20"/>
                <w:szCs w:val="20"/>
              </w:rPr>
            </w:pPr>
          </w:p>
        </w:tc>
      </w:tr>
      <w:tr w:rsidR="00254926" w:rsidRPr="00254926" w14:paraId="192E22EC" w14:textId="77777777" w:rsidTr="008167B4">
        <w:trPr>
          <w:trHeight w:val="395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6EA2" w14:textId="5CF7EA9F" w:rsidR="00254926" w:rsidRPr="00254926" w:rsidRDefault="00254926" w:rsidP="00236A1E">
            <w:pPr>
              <w:ind w:left="144" w:hanging="144"/>
              <w:rPr>
                <w:sz w:val="20"/>
                <w:szCs w:val="20"/>
              </w:rPr>
            </w:pPr>
            <w:r w:rsidRPr="00254926">
              <w:rPr>
                <w:sz w:val="20"/>
                <w:szCs w:val="20"/>
              </w:rPr>
              <w:t>2. Operates in a jurisd</w:t>
            </w:r>
            <w:r w:rsidR="00236A1E" w:rsidRPr="00236A1E">
              <w:rPr>
                <w:sz w:val="20"/>
                <w:szCs w:val="20"/>
              </w:rPr>
              <w:t>iction for which no specialized</w:t>
            </w:r>
            <w:r w:rsidRPr="00254926">
              <w:rPr>
                <w:sz w:val="20"/>
                <w:szCs w:val="20"/>
              </w:rPr>
              <w:t xml:space="preserve"> registry is capable of accepting </w:t>
            </w:r>
            <w:r w:rsidR="00236A1E" w:rsidRPr="00236A1E">
              <w:rPr>
                <w:sz w:val="20"/>
                <w:szCs w:val="20"/>
              </w:rPr>
              <w:t>electronic registry transa</w:t>
            </w:r>
            <w:r w:rsidR="00BF1823">
              <w:rPr>
                <w:sz w:val="20"/>
                <w:szCs w:val="20"/>
              </w:rPr>
              <w:t>c</w:t>
            </w:r>
            <w:r w:rsidR="00236A1E" w:rsidRPr="00236A1E">
              <w:rPr>
                <w:sz w:val="20"/>
                <w:szCs w:val="20"/>
              </w:rPr>
              <w:t xml:space="preserve">tions in </w:t>
            </w:r>
            <w:r w:rsidRPr="00254926">
              <w:rPr>
                <w:sz w:val="20"/>
                <w:szCs w:val="20"/>
              </w:rPr>
              <w:t>the specific standards required to meet the CEHRT definition a</w:t>
            </w:r>
            <w:r w:rsidR="00BF1823">
              <w:rPr>
                <w:sz w:val="20"/>
                <w:szCs w:val="20"/>
              </w:rPr>
              <w:t>t</w:t>
            </w:r>
            <w:r w:rsidRPr="00254926">
              <w:rPr>
                <w:sz w:val="20"/>
                <w:szCs w:val="20"/>
              </w:rPr>
              <w:t xml:space="preserve"> the start of the EHR reporting period.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B9D3" w14:textId="1E7D1E30" w:rsidR="001E1A70" w:rsidRDefault="001E1A70" w:rsidP="001E1A70">
            <w:pPr>
              <w:rPr>
                <w:b/>
                <w:sz w:val="20"/>
                <w:szCs w:val="20"/>
              </w:rPr>
            </w:pPr>
            <w:r w:rsidRPr="000B5D1B">
              <w:rPr>
                <w:b/>
                <w:sz w:val="20"/>
                <w:szCs w:val="20"/>
              </w:rPr>
              <w:t>Sample supporting documentation statements</w:t>
            </w:r>
            <w:r w:rsidR="002C3D38">
              <w:rPr>
                <w:b/>
                <w:sz w:val="20"/>
                <w:szCs w:val="20"/>
              </w:rPr>
              <w:t xml:space="preserve"> (use page 5 to submit</w:t>
            </w:r>
            <w:r w:rsidR="00BF1823">
              <w:rPr>
                <w:b/>
                <w:sz w:val="20"/>
                <w:szCs w:val="20"/>
              </w:rPr>
              <w:t>)</w:t>
            </w:r>
            <w:r w:rsidRPr="000B5D1B">
              <w:rPr>
                <w:b/>
                <w:sz w:val="20"/>
                <w:szCs w:val="20"/>
              </w:rPr>
              <w:t>:</w:t>
            </w:r>
          </w:p>
          <w:p w14:paraId="227FFEAD" w14:textId="77777777" w:rsidR="008167B4" w:rsidRPr="000B5D1B" w:rsidRDefault="008167B4" w:rsidP="001E1A70">
            <w:pPr>
              <w:rPr>
                <w:b/>
                <w:sz w:val="20"/>
                <w:szCs w:val="20"/>
              </w:rPr>
            </w:pPr>
          </w:p>
          <w:p w14:paraId="5BFBEC36" w14:textId="77777777" w:rsidR="001E1A70" w:rsidRPr="00236A1E" w:rsidRDefault="001E1A70" w:rsidP="001E1A70">
            <w:pPr>
              <w:rPr>
                <w:sz w:val="20"/>
                <w:szCs w:val="20"/>
              </w:rPr>
            </w:pPr>
          </w:p>
          <w:p w14:paraId="7CD4489C" w14:textId="2AF22200" w:rsidR="000B5D1B" w:rsidRDefault="001E1A70" w:rsidP="001E1A70">
            <w:pPr>
              <w:rPr>
                <w:sz w:val="20"/>
                <w:szCs w:val="20"/>
              </w:rPr>
            </w:pPr>
            <w:r w:rsidRPr="001E1A70">
              <w:rPr>
                <w:b/>
                <w:sz w:val="20"/>
                <w:szCs w:val="20"/>
              </w:rPr>
              <w:t>VT EP</w:t>
            </w:r>
            <w:r w:rsidRPr="001E1A70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“</w:t>
            </w:r>
            <w:r w:rsidRPr="001E1A70">
              <w:rPr>
                <w:sz w:val="20"/>
                <w:szCs w:val="20"/>
              </w:rPr>
              <w:t xml:space="preserve">The Vermont Department of Health does not currently have a Specialized Registry </w:t>
            </w:r>
            <w:r w:rsidRPr="001E1A70">
              <w:rPr>
                <w:sz w:val="20"/>
                <w:szCs w:val="20"/>
                <w:highlight w:val="yellow"/>
              </w:rPr>
              <w:t>AND</w:t>
            </w:r>
            <w:r w:rsidRPr="001E1A70">
              <w:rPr>
                <w:sz w:val="20"/>
                <w:szCs w:val="20"/>
              </w:rPr>
              <w:t xml:space="preserve"> the medical/specialty society or societies I belong to was/were not capable of accepting data at the start of my </w:t>
            </w:r>
            <w:r w:rsidR="00B95370">
              <w:rPr>
                <w:sz w:val="20"/>
                <w:szCs w:val="20"/>
              </w:rPr>
              <w:t>EHR/MU</w:t>
            </w:r>
            <w:r w:rsidRPr="001E1A70">
              <w:rPr>
                <w:sz w:val="20"/>
                <w:szCs w:val="20"/>
              </w:rPr>
              <w:t xml:space="preserve"> reporting period.</w:t>
            </w:r>
            <w:r>
              <w:rPr>
                <w:sz w:val="20"/>
                <w:szCs w:val="20"/>
              </w:rPr>
              <w:t xml:space="preserve">” </w:t>
            </w:r>
          </w:p>
          <w:p w14:paraId="0F6E7C36" w14:textId="39747EDB" w:rsidR="00254926" w:rsidRPr="000B5D1B" w:rsidRDefault="001E1A70" w:rsidP="001E1A70">
            <w:pPr>
              <w:rPr>
                <w:b/>
                <w:sz w:val="20"/>
                <w:szCs w:val="20"/>
              </w:rPr>
            </w:pPr>
            <w:r w:rsidRPr="000B5D1B">
              <w:rPr>
                <w:b/>
                <w:sz w:val="20"/>
                <w:szCs w:val="20"/>
              </w:rPr>
              <w:t xml:space="preserve">List medical and specialty Society memberships as of the beginning of the </w:t>
            </w:r>
            <w:r w:rsidR="00B95370">
              <w:rPr>
                <w:b/>
                <w:sz w:val="20"/>
                <w:szCs w:val="20"/>
              </w:rPr>
              <w:t>EHR/MU</w:t>
            </w:r>
            <w:r w:rsidRPr="000B5D1B">
              <w:rPr>
                <w:b/>
                <w:sz w:val="20"/>
                <w:szCs w:val="20"/>
              </w:rPr>
              <w:t xml:space="preserve"> Reporting Period, include </w:t>
            </w:r>
            <w:r w:rsidRPr="000B5D1B">
              <w:rPr>
                <w:b/>
                <w:sz w:val="20"/>
                <w:szCs w:val="20"/>
                <w:highlight w:val="yellow"/>
              </w:rPr>
              <w:t>signature</w:t>
            </w:r>
            <w:r w:rsidRPr="000B5D1B">
              <w:rPr>
                <w:b/>
                <w:sz w:val="20"/>
                <w:szCs w:val="20"/>
              </w:rPr>
              <w:t xml:space="preserve"> and </w:t>
            </w:r>
            <w:r w:rsidR="00B95370">
              <w:rPr>
                <w:b/>
                <w:sz w:val="20"/>
                <w:szCs w:val="20"/>
              </w:rPr>
              <w:t>EHR/MU</w:t>
            </w:r>
            <w:r w:rsidRPr="000B5D1B">
              <w:rPr>
                <w:b/>
                <w:sz w:val="20"/>
                <w:szCs w:val="20"/>
              </w:rPr>
              <w:t xml:space="preserve"> Reporting Period. </w:t>
            </w:r>
          </w:p>
          <w:p w14:paraId="2CBA0186" w14:textId="77777777" w:rsidR="001E1A70" w:rsidRDefault="001E1A70" w:rsidP="001E1A70">
            <w:pPr>
              <w:rPr>
                <w:sz w:val="20"/>
                <w:szCs w:val="20"/>
              </w:rPr>
            </w:pPr>
          </w:p>
          <w:p w14:paraId="7169611A" w14:textId="5FF43A59" w:rsidR="000B5D1B" w:rsidRDefault="000B5D1B" w:rsidP="000B5D1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NH EP</w:t>
            </w:r>
            <w:r w:rsidRPr="000B5D1B">
              <w:rPr>
                <w:b/>
                <w:bCs/>
                <w:sz w:val="20"/>
                <w:szCs w:val="20"/>
              </w:rPr>
              <w:t>:</w:t>
            </w:r>
            <w:r w:rsidRPr="000B5D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“</w:t>
            </w:r>
            <w:r w:rsidRPr="000B5D1B">
              <w:rPr>
                <w:sz w:val="20"/>
                <w:szCs w:val="20"/>
              </w:rPr>
              <w:t>The New Hampshire Department of Health and Human Services Cancer Registry is not relevant to my scope of practice because __________ (</w:t>
            </w:r>
            <w:r w:rsidRPr="000B5D1B">
              <w:rPr>
                <w:i/>
                <w:sz w:val="20"/>
                <w:szCs w:val="20"/>
              </w:rPr>
              <w:t>please provide brief explanation</w:t>
            </w:r>
            <w:r w:rsidRPr="000B5D1B">
              <w:rPr>
                <w:sz w:val="20"/>
                <w:szCs w:val="20"/>
              </w:rPr>
              <w:t xml:space="preserve">) </w:t>
            </w:r>
            <w:r w:rsidRPr="000B5D1B">
              <w:rPr>
                <w:sz w:val="20"/>
                <w:szCs w:val="20"/>
                <w:highlight w:val="yellow"/>
              </w:rPr>
              <w:t>AND</w:t>
            </w:r>
            <w:r w:rsidRPr="000B5D1B">
              <w:rPr>
                <w:sz w:val="20"/>
                <w:szCs w:val="20"/>
              </w:rPr>
              <w:t xml:space="preserve"> the medical/specialty society or societies I belong to was/were not capable of accepting data at the start of my </w:t>
            </w:r>
            <w:r w:rsidR="00B95370">
              <w:rPr>
                <w:sz w:val="20"/>
                <w:szCs w:val="20"/>
              </w:rPr>
              <w:t>EHR/MU</w:t>
            </w:r>
            <w:r w:rsidRPr="000B5D1B">
              <w:rPr>
                <w:sz w:val="20"/>
                <w:szCs w:val="20"/>
              </w:rPr>
              <w:t xml:space="preserve"> reporting period.</w:t>
            </w:r>
            <w:r>
              <w:rPr>
                <w:sz w:val="20"/>
                <w:szCs w:val="20"/>
              </w:rPr>
              <w:t>”</w:t>
            </w:r>
          </w:p>
          <w:p w14:paraId="5CAE8394" w14:textId="77777777" w:rsidR="001E1A70" w:rsidRDefault="000B5D1B" w:rsidP="001E1A70">
            <w:pPr>
              <w:rPr>
                <w:b/>
                <w:sz w:val="20"/>
                <w:szCs w:val="20"/>
              </w:rPr>
            </w:pPr>
            <w:r w:rsidRPr="000B5D1B">
              <w:rPr>
                <w:b/>
                <w:sz w:val="20"/>
                <w:szCs w:val="20"/>
              </w:rPr>
              <w:t xml:space="preserve">List medical and specialty Society memberships as of the beginning of the </w:t>
            </w:r>
            <w:r w:rsidR="00B95370">
              <w:rPr>
                <w:b/>
                <w:sz w:val="20"/>
                <w:szCs w:val="20"/>
              </w:rPr>
              <w:t>EHR/MU</w:t>
            </w:r>
            <w:r w:rsidRPr="000B5D1B">
              <w:rPr>
                <w:b/>
                <w:sz w:val="20"/>
                <w:szCs w:val="20"/>
              </w:rPr>
              <w:t xml:space="preserve"> Reporting Period, include </w:t>
            </w:r>
            <w:r w:rsidRPr="000B5D1B">
              <w:rPr>
                <w:b/>
                <w:sz w:val="20"/>
                <w:szCs w:val="20"/>
                <w:highlight w:val="yellow"/>
              </w:rPr>
              <w:t>signature</w:t>
            </w:r>
            <w:r w:rsidRPr="000B5D1B">
              <w:rPr>
                <w:b/>
                <w:sz w:val="20"/>
                <w:szCs w:val="20"/>
              </w:rPr>
              <w:t xml:space="preserve"> and </w:t>
            </w:r>
            <w:r w:rsidR="00B95370">
              <w:rPr>
                <w:b/>
                <w:sz w:val="20"/>
                <w:szCs w:val="20"/>
              </w:rPr>
              <w:t>EHR/MU</w:t>
            </w:r>
            <w:r w:rsidRPr="000B5D1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Reporting Period. </w:t>
            </w:r>
          </w:p>
          <w:p w14:paraId="7FA9339E" w14:textId="365B03D3" w:rsidR="00AC550A" w:rsidRPr="000B5D1B" w:rsidRDefault="00AC550A" w:rsidP="001E1A70">
            <w:pPr>
              <w:rPr>
                <w:b/>
                <w:sz w:val="20"/>
                <w:szCs w:val="20"/>
              </w:rPr>
            </w:pPr>
          </w:p>
        </w:tc>
      </w:tr>
      <w:tr w:rsidR="000B5D1B" w:rsidRPr="00254926" w14:paraId="7D7CFB8A" w14:textId="77777777" w:rsidTr="008167B4">
        <w:trPr>
          <w:trHeight w:val="3851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6837" w14:textId="40FBD7BA" w:rsidR="000B5D1B" w:rsidRPr="00254926" w:rsidRDefault="000B5D1B" w:rsidP="000B5D1B">
            <w:pPr>
              <w:ind w:left="144" w:hanging="144"/>
              <w:rPr>
                <w:sz w:val="20"/>
                <w:szCs w:val="20"/>
              </w:rPr>
            </w:pPr>
            <w:r w:rsidRPr="00254926">
              <w:rPr>
                <w:sz w:val="20"/>
                <w:szCs w:val="20"/>
              </w:rPr>
              <w:t xml:space="preserve">3. Operates in a jurisdiction where no </w:t>
            </w:r>
            <w:r w:rsidRPr="00236A1E">
              <w:rPr>
                <w:sz w:val="20"/>
                <w:szCs w:val="20"/>
              </w:rPr>
              <w:t xml:space="preserve">specialized registry for which the EP is eligible has </w:t>
            </w:r>
            <w:r w:rsidRPr="00254926">
              <w:rPr>
                <w:sz w:val="20"/>
                <w:szCs w:val="20"/>
              </w:rPr>
              <w:t xml:space="preserve">declared readiness to receive </w:t>
            </w:r>
            <w:r w:rsidRPr="00236A1E">
              <w:rPr>
                <w:sz w:val="20"/>
                <w:szCs w:val="20"/>
              </w:rPr>
              <w:t xml:space="preserve">electronic registry transactions at the start of </w:t>
            </w:r>
            <w:r w:rsidRPr="00254926">
              <w:rPr>
                <w:sz w:val="20"/>
                <w:szCs w:val="20"/>
              </w:rPr>
              <w:t xml:space="preserve">the EHR reporting period. 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72D5" w14:textId="188FCE91" w:rsidR="000B5D1B" w:rsidRDefault="000B5D1B" w:rsidP="000B5D1B">
            <w:pPr>
              <w:rPr>
                <w:b/>
                <w:sz w:val="20"/>
                <w:szCs w:val="20"/>
              </w:rPr>
            </w:pPr>
            <w:r w:rsidRPr="000B5D1B">
              <w:rPr>
                <w:b/>
                <w:sz w:val="20"/>
                <w:szCs w:val="20"/>
              </w:rPr>
              <w:t>Sample supporting documentation statements</w:t>
            </w:r>
            <w:r w:rsidR="002C3D38">
              <w:rPr>
                <w:b/>
                <w:sz w:val="20"/>
                <w:szCs w:val="20"/>
              </w:rPr>
              <w:t xml:space="preserve"> (use page 5 to submit</w:t>
            </w:r>
            <w:r w:rsidR="00BF1823">
              <w:rPr>
                <w:b/>
                <w:sz w:val="20"/>
                <w:szCs w:val="20"/>
              </w:rPr>
              <w:t>)</w:t>
            </w:r>
            <w:r w:rsidRPr="000B5D1B">
              <w:rPr>
                <w:b/>
                <w:sz w:val="20"/>
                <w:szCs w:val="20"/>
              </w:rPr>
              <w:t>:</w:t>
            </w:r>
          </w:p>
          <w:p w14:paraId="235A0831" w14:textId="77777777" w:rsidR="008167B4" w:rsidRPr="000B5D1B" w:rsidRDefault="008167B4" w:rsidP="000B5D1B">
            <w:pPr>
              <w:rPr>
                <w:b/>
                <w:sz w:val="20"/>
                <w:szCs w:val="20"/>
              </w:rPr>
            </w:pPr>
          </w:p>
          <w:p w14:paraId="4F5110A6" w14:textId="77777777" w:rsidR="000B5D1B" w:rsidRPr="00236A1E" w:rsidRDefault="000B5D1B" w:rsidP="000B5D1B">
            <w:pPr>
              <w:rPr>
                <w:sz w:val="20"/>
                <w:szCs w:val="20"/>
              </w:rPr>
            </w:pPr>
          </w:p>
          <w:p w14:paraId="73F87DC7" w14:textId="3755AFEC" w:rsidR="000B5D1B" w:rsidRDefault="000B5D1B" w:rsidP="000B5D1B">
            <w:pPr>
              <w:rPr>
                <w:sz w:val="20"/>
                <w:szCs w:val="20"/>
              </w:rPr>
            </w:pPr>
            <w:r w:rsidRPr="001E1A70">
              <w:rPr>
                <w:b/>
                <w:sz w:val="20"/>
                <w:szCs w:val="20"/>
              </w:rPr>
              <w:t>VT EP</w:t>
            </w:r>
            <w:r w:rsidRPr="001E1A70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“</w:t>
            </w:r>
            <w:r w:rsidRPr="001E1A70">
              <w:rPr>
                <w:sz w:val="20"/>
                <w:szCs w:val="20"/>
              </w:rPr>
              <w:t xml:space="preserve">The Vermont Department of Health does not currently have a Specialized Registry </w:t>
            </w:r>
            <w:r w:rsidRPr="001E1A70">
              <w:rPr>
                <w:sz w:val="20"/>
                <w:szCs w:val="20"/>
                <w:highlight w:val="yellow"/>
              </w:rPr>
              <w:t>AND</w:t>
            </w:r>
            <w:r w:rsidRPr="001E1A70">
              <w:rPr>
                <w:sz w:val="20"/>
                <w:szCs w:val="20"/>
              </w:rPr>
              <w:t xml:space="preserve"> the medical/specialty society or societies I belong to was/were not capable of accepting data at the start of my </w:t>
            </w:r>
            <w:r w:rsidR="00B95370">
              <w:rPr>
                <w:sz w:val="20"/>
                <w:szCs w:val="20"/>
              </w:rPr>
              <w:t>EHR/MU</w:t>
            </w:r>
            <w:r w:rsidRPr="001E1A70">
              <w:rPr>
                <w:sz w:val="20"/>
                <w:szCs w:val="20"/>
              </w:rPr>
              <w:t xml:space="preserve"> reporting period.</w:t>
            </w:r>
            <w:r>
              <w:rPr>
                <w:sz w:val="20"/>
                <w:szCs w:val="20"/>
              </w:rPr>
              <w:t xml:space="preserve">” </w:t>
            </w:r>
          </w:p>
          <w:p w14:paraId="1EFE42D7" w14:textId="612C62A5" w:rsidR="000B5D1B" w:rsidRPr="000B5D1B" w:rsidRDefault="000B5D1B" w:rsidP="000B5D1B">
            <w:pPr>
              <w:rPr>
                <w:b/>
                <w:sz w:val="20"/>
                <w:szCs w:val="20"/>
              </w:rPr>
            </w:pPr>
            <w:r w:rsidRPr="000B5D1B">
              <w:rPr>
                <w:b/>
                <w:sz w:val="20"/>
                <w:szCs w:val="20"/>
              </w:rPr>
              <w:t xml:space="preserve">List medical and specialty Society memberships as of the beginning of the </w:t>
            </w:r>
            <w:r w:rsidR="00B95370">
              <w:rPr>
                <w:b/>
                <w:sz w:val="20"/>
                <w:szCs w:val="20"/>
              </w:rPr>
              <w:t>EHR/MU</w:t>
            </w:r>
            <w:r w:rsidRPr="000B5D1B">
              <w:rPr>
                <w:b/>
                <w:sz w:val="20"/>
                <w:szCs w:val="20"/>
              </w:rPr>
              <w:t xml:space="preserve"> Reporting Period, include </w:t>
            </w:r>
            <w:r w:rsidRPr="000B5D1B">
              <w:rPr>
                <w:b/>
                <w:sz w:val="20"/>
                <w:szCs w:val="20"/>
                <w:highlight w:val="yellow"/>
              </w:rPr>
              <w:t>signature</w:t>
            </w:r>
            <w:r w:rsidRPr="000B5D1B">
              <w:rPr>
                <w:b/>
                <w:sz w:val="20"/>
                <w:szCs w:val="20"/>
              </w:rPr>
              <w:t xml:space="preserve"> and </w:t>
            </w:r>
            <w:r w:rsidR="00B95370">
              <w:rPr>
                <w:b/>
                <w:sz w:val="20"/>
                <w:szCs w:val="20"/>
              </w:rPr>
              <w:t>EHR/MU</w:t>
            </w:r>
            <w:r w:rsidRPr="000B5D1B">
              <w:rPr>
                <w:b/>
                <w:sz w:val="20"/>
                <w:szCs w:val="20"/>
              </w:rPr>
              <w:t xml:space="preserve"> Reporting Period. </w:t>
            </w:r>
          </w:p>
          <w:p w14:paraId="1B56FC36" w14:textId="77777777" w:rsidR="000B5D1B" w:rsidRDefault="000B5D1B" w:rsidP="000B5D1B">
            <w:pPr>
              <w:rPr>
                <w:sz w:val="20"/>
                <w:szCs w:val="20"/>
              </w:rPr>
            </w:pPr>
          </w:p>
          <w:p w14:paraId="73166FBE" w14:textId="3BD5CC4F" w:rsidR="000B5D1B" w:rsidRDefault="000B5D1B" w:rsidP="000B5D1B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NH EP</w:t>
            </w:r>
            <w:r w:rsidRPr="000B5D1B">
              <w:rPr>
                <w:b/>
                <w:bCs/>
                <w:sz w:val="20"/>
                <w:szCs w:val="20"/>
              </w:rPr>
              <w:t>:</w:t>
            </w:r>
            <w:r w:rsidRPr="000B5D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“</w:t>
            </w:r>
            <w:r w:rsidRPr="000B5D1B">
              <w:rPr>
                <w:sz w:val="20"/>
                <w:szCs w:val="20"/>
              </w:rPr>
              <w:t>The New Hampshire Department of Health and Human Services Cancer Registry is not relevant to my scope of practice because __________ (</w:t>
            </w:r>
            <w:r w:rsidRPr="000B5D1B">
              <w:rPr>
                <w:i/>
                <w:sz w:val="20"/>
                <w:szCs w:val="20"/>
              </w:rPr>
              <w:t>please provide brief explanation</w:t>
            </w:r>
            <w:r w:rsidRPr="000B5D1B">
              <w:rPr>
                <w:sz w:val="20"/>
                <w:szCs w:val="20"/>
              </w:rPr>
              <w:t xml:space="preserve">) </w:t>
            </w:r>
            <w:r w:rsidRPr="000B5D1B">
              <w:rPr>
                <w:sz w:val="20"/>
                <w:szCs w:val="20"/>
                <w:highlight w:val="yellow"/>
              </w:rPr>
              <w:t>AND</w:t>
            </w:r>
            <w:r w:rsidRPr="000B5D1B">
              <w:rPr>
                <w:sz w:val="20"/>
                <w:szCs w:val="20"/>
              </w:rPr>
              <w:t xml:space="preserve"> the medical/specialty society or societies I belong to was/were not capable of accepting data at the start of my </w:t>
            </w:r>
            <w:r w:rsidR="00B95370">
              <w:rPr>
                <w:sz w:val="20"/>
                <w:szCs w:val="20"/>
              </w:rPr>
              <w:t>EHR/MU</w:t>
            </w:r>
            <w:r w:rsidRPr="000B5D1B">
              <w:rPr>
                <w:sz w:val="20"/>
                <w:szCs w:val="20"/>
              </w:rPr>
              <w:t xml:space="preserve"> reporting period.</w:t>
            </w:r>
            <w:r>
              <w:rPr>
                <w:sz w:val="20"/>
                <w:szCs w:val="20"/>
              </w:rPr>
              <w:t>”</w:t>
            </w:r>
          </w:p>
          <w:p w14:paraId="5857AB7F" w14:textId="77777777" w:rsidR="000B5D1B" w:rsidRDefault="000B5D1B" w:rsidP="00662F08">
            <w:pPr>
              <w:rPr>
                <w:b/>
                <w:sz w:val="20"/>
                <w:szCs w:val="20"/>
              </w:rPr>
            </w:pPr>
            <w:r w:rsidRPr="000B5D1B">
              <w:rPr>
                <w:b/>
                <w:sz w:val="20"/>
                <w:szCs w:val="20"/>
              </w:rPr>
              <w:t xml:space="preserve">List medical and specialty Society memberships as of the beginning of the </w:t>
            </w:r>
            <w:r w:rsidR="00B95370">
              <w:rPr>
                <w:b/>
                <w:sz w:val="20"/>
                <w:szCs w:val="20"/>
              </w:rPr>
              <w:t>EHR/MU</w:t>
            </w:r>
            <w:r w:rsidRPr="000B5D1B">
              <w:rPr>
                <w:b/>
                <w:sz w:val="20"/>
                <w:szCs w:val="20"/>
              </w:rPr>
              <w:t xml:space="preserve"> Reporting Period, include </w:t>
            </w:r>
            <w:r w:rsidRPr="000B5D1B">
              <w:rPr>
                <w:b/>
                <w:sz w:val="20"/>
                <w:szCs w:val="20"/>
                <w:highlight w:val="yellow"/>
              </w:rPr>
              <w:t>signature</w:t>
            </w:r>
            <w:r w:rsidRPr="000B5D1B">
              <w:rPr>
                <w:b/>
                <w:sz w:val="20"/>
                <w:szCs w:val="20"/>
              </w:rPr>
              <w:t xml:space="preserve"> and </w:t>
            </w:r>
            <w:r w:rsidR="00B95370">
              <w:rPr>
                <w:b/>
                <w:sz w:val="20"/>
                <w:szCs w:val="20"/>
              </w:rPr>
              <w:t>EHR/MU</w:t>
            </w:r>
            <w:r w:rsidRPr="000B5D1B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Reporting Period. </w:t>
            </w:r>
          </w:p>
          <w:p w14:paraId="64070CA5" w14:textId="2D560702" w:rsidR="00AC550A" w:rsidRPr="00254926" w:rsidRDefault="00AC550A" w:rsidP="00662F08">
            <w:pPr>
              <w:rPr>
                <w:sz w:val="16"/>
                <w:szCs w:val="16"/>
              </w:rPr>
            </w:pPr>
          </w:p>
        </w:tc>
      </w:tr>
      <w:tr w:rsidR="00254926" w:rsidRPr="00254926" w14:paraId="095A69D1" w14:textId="77777777" w:rsidTr="00236A1E">
        <w:trPr>
          <w:trHeight w:val="350"/>
        </w:trPr>
        <w:tc>
          <w:tcPr>
            <w:tcW w:w="110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CAE906" w14:textId="77777777" w:rsidR="00254926" w:rsidRPr="00254926" w:rsidRDefault="00254926" w:rsidP="00254926">
            <w:pPr>
              <w:jc w:val="center"/>
              <w:rPr>
                <w:b/>
                <w:sz w:val="20"/>
                <w:szCs w:val="20"/>
              </w:rPr>
            </w:pPr>
            <w:r w:rsidRPr="00254926">
              <w:rPr>
                <w:b/>
                <w:sz w:val="20"/>
                <w:szCs w:val="20"/>
                <w:highlight w:val="yellow"/>
              </w:rPr>
              <w:t>Upload</w:t>
            </w:r>
            <w:r w:rsidRPr="00254926">
              <w:rPr>
                <w:b/>
                <w:sz w:val="20"/>
                <w:szCs w:val="20"/>
              </w:rPr>
              <w:t xml:space="preserve"> the documentation to the provider attestation(s) in MAPIR or </w:t>
            </w:r>
            <w:r w:rsidRPr="00254926">
              <w:rPr>
                <w:b/>
                <w:sz w:val="20"/>
                <w:szCs w:val="20"/>
                <w:highlight w:val="yellow"/>
              </w:rPr>
              <w:t>email</w:t>
            </w:r>
            <w:r w:rsidRPr="00254926">
              <w:rPr>
                <w:b/>
                <w:sz w:val="20"/>
                <w:szCs w:val="20"/>
              </w:rPr>
              <w:t xml:space="preserve"> it to </w:t>
            </w:r>
            <w:hyperlink r:id="rId17" w:history="1">
              <w:r w:rsidRPr="00254926">
                <w:rPr>
                  <w:b/>
                  <w:color w:val="0563C1" w:themeColor="hyperlink"/>
                  <w:sz w:val="20"/>
                  <w:szCs w:val="20"/>
                  <w:u w:val="single"/>
                </w:rPr>
                <w:t>ahs.dvhaEHRIP@vermont.gov</w:t>
              </w:r>
            </w:hyperlink>
            <w:r w:rsidRPr="00254926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14:paraId="4A14A52F" w14:textId="77777777" w:rsidR="00254926" w:rsidRDefault="00254926" w:rsidP="003B024A">
      <w:pPr>
        <w:pStyle w:val="NoSpacing"/>
      </w:pPr>
    </w:p>
    <w:p w14:paraId="1511DD56" w14:textId="77777777" w:rsidR="00254926" w:rsidRDefault="00254926" w:rsidP="003B024A">
      <w:pPr>
        <w:pStyle w:val="NoSpacing"/>
      </w:pPr>
    </w:p>
    <w:p w14:paraId="6964D6E0" w14:textId="77777777" w:rsidR="00254926" w:rsidRDefault="00254926" w:rsidP="003B024A">
      <w:pPr>
        <w:pStyle w:val="NoSpacing"/>
      </w:pPr>
    </w:p>
    <w:p w14:paraId="0D47D5A4" w14:textId="17DBB5D8" w:rsidR="00AF1B73" w:rsidRDefault="00AF1B73">
      <w:r>
        <w:br w:type="page"/>
      </w:r>
    </w:p>
    <w:p w14:paraId="62DBDAF6" w14:textId="77777777" w:rsidR="00AF1B73" w:rsidRDefault="00AF1B73" w:rsidP="003B024A">
      <w:pPr>
        <w:pStyle w:val="NoSpacing"/>
      </w:pPr>
    </w:p>
    <w:tbl>
      <w:tblPr>
        <w:tblStyle w:val="TableGrid4"/>
        <w:tblW w:w="11050" w:type="dxa"/>
        <w:tblInd w:w="10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1050"/>
      </w:tblGrid>
      <w:tr w:rsidR="00AF1B73" w:rsidRPr="00AF1B73" w14:paraId="1A7628A1" w14:textId="77777777" w:rsidTr="003069FE">
        <w:trPr>
          <w:trHeight w:val="391"/>
        </w:trPr>
        <w:tc>
          <w:tcPr>
            <w:tcW w:w="1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06053A8" w14:textId="5FF45BE7" w:rsidR="00AF1B73" w:rsidRPr="00AF1B73" w:rsidRDefault="00AF1B73" w:rsidP="00AF1B73">
            <w:pPr>
              <w:jc w:val="center"/>
              <w:rPr>
                <w:b/>
              </w:rPr>
            </w:pPr>
            <w:r w:rsidRPr="00AF1B73">
              <w:rPr>
                <w:b/>
              </w:rPr>
              <w:t xml:space="preserve">Use the space below to list </w:t>
            </w:r>
            <w:r w:rsidR="00F058E4">
              <w:rPr>
                <w:b/>
              </w:rPr>
              <w:t>additional</w:t>
            </w:r>
            <w:r w:rsidRPr="00AF1B73">
              <w:rPr>
                <w:b/>
              </w:rPr>
              <w:t xml:space="preserve"> providers and/or to submit provider exclusion statements and signatures.</w:t>
            </w:r>
          </w:p>
        </w:tc>
      </w:tr>
      <w:tr w:rsidR="00AF1B73" w:rsidRPr="00AF1B73" w14:paraId="0AA996EE" w14:textId="77777777" w:rsidTr="00AF1B73">
        <w:trPr>
          <w:trHeight w:val="13193"/>
        </w:trPr>
        <w:tc>
          <w:tcPr>
            <w:tcW w:w="1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5EBD" w14:textId="77777777" w:rsidR="00AF1B73" w:rsidRPr="00AF1B73" w:rsidRDefault="00AF1B73" w:rsidP="00AF1B73">
            <w:pPr>
              <w:ind w:left="288"/>
              <w:rPr>
                <w:b/>
                <w:sz w:val="18"/>
                <w:szCs w:val="18"/>
              </w:rPr>
            </w:pPr>
          </w:p>
          <w:p w14:paraId="0A416AC4" w14:textId="270FE501" w:rsidR="00AF1B73" w:rsidRPr="00AF1B73" w:rsidRDefault="00AF1B73" w:rsidP="00AF1B73">
            <w:pPr>
              <w:ind w:left="288"/>
              <w:rPr>
                <w:b/>
                <w:sz w:val="18"/>
                <w:szCs w:val="18"/>
              </w:rPr>
            </w:pPr>
          </w:p>
        </w:tc>
      </w:tr>
    </w:tbl>
    <w:p w14:paraId="276BF1C0" w14:textId="77777777" w:rsidR="00AF1B73" w:rsidRDefault="00AF1B73" w:rsidP="003B024A">
      <w:pPr>
        <w:pStyle w:val="NoSpacing"/>
      </w:pPr>
    </w:p>
    <w:p w14:paraId="74E0EB4A" w14:textId="780A5BEC" w:rsidR="00C53730" w:rsidRDefault="00C53730" w:rsidP="00C53730">
      <w:pPr>
        <w:pStyle w:val="NoSpacing"/>
      </w:pPr>
    </w:p>
    <w:p w14:paraId="73AF793B" w14:textId="77777777" w:rsidR="00C53730" w:rsidRDefault="00C53730" w:rsidP="00C53730">
      <w:pPr>
        <w:pStyle w:val="NoSpacing"/>
      </w:pPr>
    </w:p>
    <w:sectPr w:rsidR="00C53730" w:rsidSect="000B3AEA">
      <w:footerReference w:type="default" r:id="rId18"/>
      <w:pgSz w:w="12240" w:h="15840" w:code="1"/>
      <w:pgMar w:top="432" w:right="432" w:bottom="432" w:left="43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1BC92" w14:textId="77777777" w:rsidR="00BB19F3" w:rsidRDefault="00BB19F3" w:rsidP="00C001AF">
      <w:pPr>
        <w:spacing w:after="0" w:line="240" w:lineRule="auto"/>
      </w:pPr>
      <w:r>
        <w:separator/>
      </w:r>
    </w:p>
  </w:endnote>
  <w:endnote w:type="continuationSeparator" w:id="0">
    <w:p w14:paraId="6A2E7506" w14:textId="77777777" w:rsidR="00BB19F3" w:rsidRDefault="00BB19F3" w:rsidP="00C0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2D080" w14:textId="4A85955A" w:rsidR="00BB19F3" w:rsidRPr="004476B5" w:rsidRDefault="00BB19F3" w:rsidP="00E74B12">
    <w:pPr>
      <w:pStyle w:val="Footer"/>
      <w:tabs>
        <w:tab w:val="clear" w:pos="4680"/>
        <w:tab w:val="clear" w:pos="9360"/>
        <w:tab w:val="center" w:pos="6120"/>
        <w:tab w:val="right" w:pos="11340"/>
      </w:tabs>
      <w:rPr>
        <w:rFonts w:ascii="Cambria" w:hAnsi="Cambria"/>
        <w:sz w:val="18"/>
        <w:szCs w:val="18"/>
      </w:rPr>
    </w:pPr>
    <w:r w:rsidRPr="004476B5">
      <w:rPr>
        <w:rFonts w:ascii="Cambria" w:hAnsi="Cambria"/>
        <w:sz w:val="18"/>
        <w:szCs w:val="18"/>
      </w:rPr>
      <w:t>Vermont Medicaid Promoting Interoperability/EHR Incentive Program</w:t>
    </w:r>
    <w:r w:rsidRPr="004476B5">
      <w:rPr>
        <w:rFonts w:ascii="Cambria" w:hAnsi="Cambria"/>
        <w:sz w:val="18"/>
        <w:szCs w:val="18"/>
      </w:rPr>
      <w:tab/>
      <w:t xml:space="preserve">Page </w:t>
    </w:r>
    <w:r w:rsidRPr="004476B5">
      <w:rPr>
        <w:rFonts w:ascii="Cambria" w:hAnsi="Cambria"/>
        <w:sz w:val="18"/>
        <w:szCs w:val="18"/>
      </w:rPr>
      <w:fldChar w:fldCharType="begin"/>
    </w:r>
    <w:r w:rsidRPr="004476B5">
      <w:rPr>
        <w:rFonts w:ascii="Cambria" w:hAnsi="Cambria"/>
        <w:sz w:val="18"/>
        <w:szCs w:val="18"/>
      </w:rPr>
      <w:instrText xml:space="preserve"> PAGE  \* Arabic  \* MERGEFORMAT </w:instrText>
    </w:r>
    <w:r w:rsidRPr="004476B5">
      <w:rPr>
        <w:rFonts w:ascii="Cambria" w:hAnsi="Cambria"/>
        <w:sz w:val="18"/>
        <w:szCs w:val="18"/>
      </w:rPr>
      <w:fldChar w:fldCharType="separate"/>
    </w:r>
    <w:r w:rsidR="00611FDA" w:rsidRPr="004476B5">
      <w:rPr>
        <w:rFonts w:ascii="Cambria" w:hAnsi="Cambria"/>
        <w:noProof/>
        <w:sz w:val="18"/>
        <w:szCs w:val="18"/>
      </w:rPr>
      <w:t>6</w:t>
    </w:r>
    <w:r w:rsidRPr="004476B5">
      <w:rPr>
        <w:rFonts w:ascii="Cambria" w:hAnsi="Cambria"/>
        <w:sz w:val="18"/>
        <w:szCs w:val="18"/>
      </w:rPr>
      <w:fldChar w:fldCharType="end"/>
    </w:r>
    <w:r w:rsidRPr="004476B5">
      <w:rPr>
        <w:rFonts w:ascii="Cambria" w:hAnsi="Cambria"/>
        <w:sz w:val="18"/>
        <w:szCs w:val="18"/>
      </w:rPr>
      <w:t xml:space="preserve"> of </w:t>
    </w:r>
    <w:r w:rsidRPr="004476B5">
      <w:rPr>
        <w:rFonts w:ascii="Cambria" w:hAnsi="Cambria"/>
        <w:sz w:val="18"/>
        <w:szCs w:val="18"/>
      </w:rPr>
      <w:fldChar w:fldCharType="begin"/>
    </w:r>
    <w:r w:rsidRPr="004476B5">
      <w:rPr>
        <w:rFonts w:ascii="Cambria" w:hAnsi="Cambria"/>
        <w:sz w:val="18"/>
        <w:szCs w:val="18"/>
      </w:rPr>
      <w:instrText xml:space="preserve"> NUMPAGES  \* Arabic  \* MERGEFORMAT </w:instrText>
    </w:r>
    <w:r w:rsidRPr="004476B5">
      <w:rPr>
        <w:rFonts w:ascii="Cambria" w:hAnsi="Cambria"/>
        <w:sz w:val="18"/>
        <w:szCs w:val="18"/>
      </w:rPr>
      <w:fldChar w:fldCharType="separate"/>
    </w:r>
    <w:r w:rsidR="00611FDA" w:rsidRPr="004476B5">
      <w:rPr>
        <w:rFonts w:ascii="Cambria" w:hAnsi="Cambria"/>
        <w:noProof/>
        <w:sz w:val="18"/>
        <w:szCs w:val="18"/>
      </w:rPr>
      <w:t>7</w:t>
    </w:r>
    <w:r w:rsidRPr="004476B5">
      <w:rPr>
        <w:rFonts w:ascii="Cambria" w:hAnsi="Cambria"/>
        <w:sz w:val="18"/>
        <w:szCs w:val="18"/>
      </w:rPr>
      <w:fldChar w:fldCharType="end"/>
    </w:r>
    <w:r w:rsidRPr="004476B5">
      <w:rPr>
        <w:rFonts w:ascii="Cambria" w:hAnsi="Cambria"/>
        <w:sz w:val="18"/>
        <w:szCs w:val="18"/>
      </w:rPr>
      <w:tab/>
      <w:t>PY2018 EPs Attesting to MU2 v.1.</w:t>
    </w:r>
    <w:r w:rsidR="00651859">
      <w:rPr>
        <w:rFonts w:ascii="Cambria" w:hAnsi="Cambria"/>
        <w:sz w:val="18"/>
        <w:szCs w:val="18"/>
      </w:rPr>
      <w:t>2</w:t>
    </w:r>
    <w:r w:rsidRPr="004476B5">
      <w:rPr>
        <w:rFonts w:ascii="Cambria" w:hAnsi="Cambria"/>
        <w:sz w:val="18"/>
        <w:szCs w:val="18"/>
      </w:rPr>
      <w:t xml:space="preserve">   </w:t>
    </w:r>
    <w:r w:rsidR="00651859">
      <w:rPr>
        <w:rFonts w:ascii="Cambria" w:hAnsi="Cambria"/>
        <w:sz w:val="18"/>
        <w:szCs w:val="18"/>
      </w:rPr>
      <w:t>02</w:t>
    </w:r>
    <w:r w:rsidRPr="004476B5">
      <w:rPr>
        <w:rFonts w:ascii="Cambria" w:hAnsi="Cambria"/>
        <w:sz w:val="18"/>
        <w:szCs w:val="18"/>
      </w:rPr>
      <w:t>/</w:t>
    </w:r>
    <w:r w:rsidR="00651859">
      <w:rPr>
        <w:rFonts w:ascii="Cambria" w:hAnsi="Cambria"/>
        <w:sz w:val="18"/>
        <w:szCs w:val="18"/>
      </w:rPr>
      <w:t>01</w:t>
    </w:r>
    <w:r w:rsidRPr="004476B5">
      <w:rPr>
        <w:rFonts w:ascii="Cambria" w:hAnsi="Cambria"/>
        <w:sz w:val="18"/>
        <w:szCs w:val="18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C4DB4" w14:textId="77777777" w:rsidR="00BB19F3" w:rsidRDefault="00BB19F3" w:rsidP="00C001AF">
      <w:pPr>
        <w:spacing w:after="0" w:line="240" w:lineRule="auto"/>
      </w:pPr>
      <w:r>
        <w:separator/>
      </w:r>
    </w:p>
  </w:footnote>
  <w:footnote w:type="continuationSeparator" w:id="0">
    <w:p w14:paraId="6AD0BEF4" w14:textId="77777777" w:rsidR="00BB19F3" w:rsidRDefault="00BB19F3" w:rsidP="00C00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67BD0"/>
    <w:multiLevelType w:val="hybridMultilevel"/>
    <w:tmpl w:val="64A8DB8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2AC759C"/>
    <w:multiLevelType w:val="hybridMultilevel"/>
    <w:tmpl w:val="5B44DB18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" w15:restartNumberingAfterBreak="0">
    <w:nsid w:val="1ABD6C00"/>
    <w:multiLevelType w:val="hybridMultilevel"/>
    <w:tmpl w:val="307C4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143D7"/>
    <w:multiLevelType w:val="hybridMultilevel"/>
    <w:tmpl w:val="A61C1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435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E13D1"/>
    <w:multiLevelType w:val="hybridMultilevel"/>
    <w:tmpl w:val="CB7E1734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5" w15:restartNumberingAfterBreak="0">
    <w:nsid w:val="33DC3F96"/>
    <w:multiLevelType w:val="hybridMultilevel"/>
    <w:tmpl w:val="2BDA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71F54"/>
    <w:multiLevelType w:val="hybridMultilevel"/>
    <w:tmpl w:val="2D0CA480"/>
    <w:lvl w:ilvl="0" w:tplc="0409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7" w15:restartNumberingAfterBreak="0">
    <w:nsid w:val="3E842059"/>
    <w:multiLevelType w:val="hybridMultilevel"/>
    <w:tmpl w:val="4BBE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B072B"/>
    <w:multiLevelType w:val="hybridMultilevel"/>
    <w:tmpl w:val="687CE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64EF9"/>
    <w:multiLevelType w:val="hybridMultilevel"/>
    <w:tmpl w:val="D3A26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4562E"/>
    <w:multiLevelType w:val="hybridMultilevel"/>
    <w:tmpl w:val="E91EB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B585C"/>
    <w:multiLevelType w:val="hybridMultilevel"/>
    <w:tmpl w:val="DD9E9544"/>
    <w:lvl w:ilvl="0" w:tplc="FDEABE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501CC"/>
    <w:multiLevelType w:val="hybridMultilevel"/>
    <w:tmpl w:val="207A4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20188"/>
    <w:multiLevelType w:val="hybridMultilevel"/>
    <w:tmpl w:val="B5D08A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749A9"/>
    <w:multiLevelType w:val="hybridMultilevel"/>
    <w:tmpl w:val="3ABE166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787B4B6B"/>
    <w:multiLevelType w:val="hybridMultilevel"/>
    <w:tmpl w:val="08C4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43C07"/>
    <w:multiLevelType w:val="hybridMultilevel"/>
    <w:tmpl w:val="36908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435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4"/>
  </w:num>
  <w:num w:numId="5">
    <w:abstractNumId w:val="1"/>
  </w:num>
  <w:num w:numId="6">
    <w:abstractNumId w:val="6"/>
  </w:num>
  <w:num w:numId="7">
    <w:abstractNumId w:val="11"/>
  </w:num>
  <w:num w:numId="8">
    <w:abstractNumId w:val="7"/>
  </w:num>
  <w:num w:numId="9">
    <w:abstractNumId w:val="2"/>
  </w:num>
  <w:num w:numId="10">
    <w:abstractNumId w:val="3"/>
  </w:num>
  <w:num w:numId="11">
    <w:abstractNumId w:val="16"/>
  </w:num>
  <w:num w:numId="12">
    <w:abstractNumId w:val="13"/>
  </w:num>
  <w:num w:numId="13">
    <w:abstractNumId w:val="9"/>
  </w:num>
  <w:num w:numId="14">
    <w:abstractNumId w:val="5"/>
  </w:num>
  <w:num w:numId="15">
    <w:abstractNumId w:val="0"/>
  </w:num>
  <w:num w:numId="16">
    <w:abstractNumId w:val="8"/>
  </w:num>
  <w:num w:numId="17">
    <w:abstractNumId w:val="15"/>
  </w:num>
  <w:num w:numId="18">
    <w:abstractNumId w:val="14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43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A2F"/>
    <w:rsid w:val="000044FA"/>
    <w:rsid w:val="000062A1"/>
    <w:rsid w:val="00006E95"/>
    <w:rsid w:val="00012D30"/>
    <w:rsid w:val="000219E7"/>
    <w:rsid w:val="000318A4"/>
    <w:rsid w:val="000332F8"/>
    <w:rsid w:val="000435D1"/>
    <w:rsid w:val="000539EC"/>
    <w:rsid w:val="000636D2"/>
    <w:rsid w:val="00071C6B"/>
    <w:rsid w:val="00084C26"/>
    <w:rsid w:val="00096D88"/>
    <w:rsid w:val="0009718C"/>
    <w:rsid w:val="000A6F86"/>
    <w:rsid w:val="000A74A3"/>
    <w:rsid w:val="000B1162"/>
    <w:rsid w:val="000B3AEA"/>
    <w:rsid w:val="000B5D1B"/>
    <w:rsid w:val="000B6996"/>
    <w:rsid w:val="000C2621"/>
    <w:rsid w:val="000C6D4D"/>
    <w:rsid w:val="000D0E9D"/>
    <w:rsid w:val="000D4042"/>
    <w:rsid w:val="000E1AF6"/>
    <w:rsid w:val="000E50BC"/>
    <w:rsid w:val="000E59A4"/>
    <w:rsid w:val="000F0424"/>
    <w:rsid w:val="000F40AB"/>
    <w:rsid w:val="00101D43"/>
    <w:rsid w:val="001021B9"/>
    <w:rsid w:val="0010446B"/>
    <w:rsid w:val="001272DF"/>
    <w:rsid w:val="00153C2F"/>
    <w:rsid w:val="00155A97"/>
    <w:rsid w:val="00155DBE"/>
    <w:rsid w:val="001561E4"/>
    <w:rsid w:val="001573D2"/>
    <w:rsid w:val="001649B5"/>
    <w:rsid w:val="00166A2F"/>
    <w:rsid w:val="001675C8"/>
    <w:rsid w:val="00170724"/>
    <w:rsid w:val="00171F6A"/>
    <w:rsid w:val="001734C9"/>
    <w:rsid w:val="00173B92"/>
    <w:rsid w:val="0017539B"/>
    <w:rsid w:val="00175E55"/>
    <w:rsid w:val="00190C9E"/>
    <w:rsid w:val="0019564E"/>
    <w:rsid w:val="001971FC"/>
    <w:rsid w:val="001B00E1"/>
    <w:rsid w:val="001B12B7"/>
    <w:rsid w:val="001B587B"/>
    <w:rsid w:val="001C48D9"/>
    <w:rsid w:val="001D1DB3"/>
    <w:rsid w:val="001D5BFC"/>
    <w:rsid w:val="001E1A70"/>
    <w:rsid w:val="001E6431"/>
    <w:rsid w:val="001F09F2"/>
    <w:rsid w:val="001F3D11"/>
    <w:rsid w:val="001F71CC"/>
    <w:rsid w:val="001F7410"/>
    <w:rsid w:val="002022A1"/>
    <w:rsid w:val="0020551A"/>
    <w:rsid w:val="002151C5"/>
    <w:rsid w:val="0021756A"/>
    <w:rsid w:val="002232E9"/>
    <w:rsid w:val="00227F79"/>
    <w:rsid w:val="00232219"/>
    <w:rsid w:val="002332FA"/>
    <w:rsid w:val="00236A1E"/>
    <w:rsid w:val="00241AF1"/>
    <w:rsid w:val="0024657A"/>
    <w:rsid w:val="0025083D"/>
    <w:rsid w:val="00251748"/>
    <w:rsid w:val="00252414"/>
    <w:rsid w:val="00254926"/>
    <w:rsid w:val="00254989"/>
    <w:rsid w:val="0026430B"/>
    <w:rsid w:val="00264512"/>
    <w:rsid w:val="00267D53"/>
    <w:rsid w:val="00270E17"/>
    <w:rsid w:val="002740E5"/>
    <w:rsid w:val="00275AC4"/>
    <w:rsid w:val="00276F8E"/>
    <w:rsid w:val="00277BB1"/>
    <w:rsid w:val="002804B8"/>
    <w:rsid w:val="0028275F"/>
    <w:rsid w:val="00283328"/>
    <w:rsid w:val="00283950"/>
    <w:rsid w:val="0028434F"/>
    <w:rsid w:val="00290230"/>
    <w:rsid w:val="002A1369"/>
    <w:rsid w:val="002A1FFF"/>
    <w:rsid w:val="002A288B"/>
    <w:rsid w:val="002B2FA0"/>
    <w:rsid w:val="002C2AF2"/>
    <w:rsid w:val="002C2F92"/>
    <w:rsid w:val="002C3651"/>
    <w:rsid w:val="002C3D38"/>
    <w:rsid w:val="002D2947"/>
    <w:rsid w:val="002E557B"/>
    <w:rsid w:val="002F0237"/>
    <w:rsid w:val="002F2954"/>
    <w:rsid w:val="002F3655"/>
    <w:rsid w:val="0030377C"/>
    <w:rsid w:val="003066F2"/>
    <w:rsid w:val="003069FE"/>
    <w:rsid w:val="00314A3D"/>
    <w:rsid w:val="00315B8A"/>
    <w:rsid w:val="003166B2"/>
    <w:rsid w:val="00324592"/>
    <w:rsid w:val="00325C28"/>
    <w:rsid w:val="00330151"/>
    <w:rsid w:val="00330DD4"/>
    <w:rsid w:val="0033193C"/>
    <w:rsid w:val="00332683"/>
    <w:rsid w:val="00334693"/>
    <w:rsid w:val="003447CF"/>
    <w:rsid w:val="0036269F"/>
    <w:rsid w:val="00366809"/>
    <w:rsid w:val="00367624"/>
    <w:rsid w:val="00374D8C"/>
    <w:rsid w:val="00376604"/>
    <w:rsid w:val="003856D3"/>
    <w:rsid w:val="00391389"/>
    <w:rsid w:val="00396118"/>
    <w:rsid w:val="00397BB5"/>
    <w:rsid w:val="003A1238"/>
    <w:rsid w:val="003A4BA1"/>
    <w:rsid w:val="003B024A"/>
    <w:rsid w:val="003C2F9E"/>
    <w:rsid w:val="003C3118"/>
    <w:rsid w:val="003C5D2A"/>
    <w:rsid w:val="003C7F5A"/>
    <w:rsid w:val="003E487D"/>
    <w:rsid w:val="003E52E3"/>
    <w:rsid w:val="003F3670"/>
    <w:rsid w:val="003F69C3"/>
    <w:rsid w:val="003F7E14"/>
    <w:rsid w:val="00405FDA"/>
    <w:rsid w:val="00422A2F"/>
    <w:rsid w:val="00433A8B"/>
    <w:rsid w:val="00435379"/>
    <w:rsid w:val="004373B4"/>
    <w:rsid w:val="004446CF"/>
    <w:rsid w:val="004476B5"/>
    <w:rsid w:val="00447921"/>
    <w:rsid w:val="00447D4A"/>
    <w:rsid w:val="00457F2B"/>
    <w:rsid w:val="0046027A"/>
    <w:rsid w:val="004864C6"/>
    <w:rsid w:val="00487B4C"/>
    <w:rsid w:val="00497AD6"/>
    <w:rsid w:val="004A3FB4"/>
    <w:rsid w:val="004A79D7"/>
    <w:rsid w:val="004B2579"/>
    <w:rsid w:val="004D1DBA"/>
    <w:rsid w:val="004D453E"/>
    <w:rsid w:val="004E067E"/>
    <w:rsid w:val="004E2B83"/>
    <w:rsid w:val="004E426F"/>
    <w:rsid w:val="004E60F7"/>
    <w:rsid w:val="004E6EF7"/>
    <w:rsid w:val="004F3834"/>
    <w:rsid w:val="004F6C57"/>
    <w:rsid w:val="004F6F44"/>
    <w:rsid w:val="005058BE"/>
    <w:rsid w:val="00514BC4"/>
    <w:rsid w:val="00522078"/>
    <w:rsid w:val="0053506B"/>
    <w:rsid w:val="005505B1"/>
    <w:rsid w:val="0055281E"/>
    <w:rsid w:val="00563147"/>
    <w:rsid w:val="0056316C"/>
    <w:rsid w:val="00566519"/>
    <w:rsid w:val="005728D4"/>
    <w:rsid w:val="0057798D"/>
    <w:rsid w:val="00577EC8"/>
    <w:rsid w:val="00580FEB"/>
    <w:rsid w:val="00583F6A"/>
    <w:rsid w:val="00592C9B"/>
    <w:rsid w:val="005A34E1"/>
    <w:rsid w:val="005A5912"/>
    <w:rsid w:val="005B4C7A"/>
    <w:rsid w:val="005C4525"/>
    <w:rsid w:val="005C72AD"/>
    <w:rsid w:val="005C75C9"/>
    <w:rsid w:val="005D4B94"/>
    <w:rsid w:val="005D57DA"/>
    <w:rsid w:val="005E41AD"/>
    <w:rsid w:val="005F27CA"/>
    <w:rsid w:val="005F4C6D"/>
    <w:rsid w:val="005F4D9C"/>
    <w:rsid w:val="005F60E4"/>
    <w:rsid w:val="005F6E8F"/>
    <w:rsid w:val="00600D6A"/>
    <w:rsid w:val="00603941"/>
    <w:rsid w:val="006054C8"/>
    <w:rsid w:val="00611003"/>
    <w:rsid w:val="00611FDA"/>
    <w:rsid w:val="0062035B"/>
    <w:rsid w:val="00621926"/>
    <w:rsid w:val="00621F5A"/>
    <w:rsid w:val="00634FD7"/>
    <w:rsid w:val="00636534"/>
    <w:rsid w:val="00636C4D"/>
    <w:rsid w:val="006442C8"/>
    <w:rsid w:val="00651859"/>
    <w:rsid w:val="006523FE"/>
    <w:rsid w:val="00654884"/>
    <w:rsid w:val="00655C75"/>
    <w:rsid w:val="00661B8D"/>
    <w:rsid w:val="00662F08"/>
    <w:rsid w:val="00664199"/>
    <w:rsid w:val="00665AF7"/>
    <w:rsid w:val="0067190D"/>
    <w:rsid w:val="006826BD"/>
    <w:rsid w:val="00690757"/>
    <w:rsid w:val="0069560E"/>
    <w:rsid w:val="006A5E57"/>
    <w:rsid w:val="006A6B4C"/>
    <w:rsid w:val="006A72EC"/>
    <w:rsid w:val="006B0469"/>
    <w:rsid w:val="006B5733"/>
    <w:rsid w:val="006C3465"/>
    <w:rsid w:val="006C62BE"/>
    <w:rsid w:val="006D178E"/>
    <w:rsid w:val="006D1CCD"/>
    <w:rsid w:val="006D25E0"/>
    <w:rsid w:val="006D27C4"/>
    <w:rsid w:val="006D495C"/>
    <w:rsid w:val="006E2AA5"/>
    <w:rsid w:val="006E57DB"/>
    <w:rsid w:val="006E5F18"/>
    <w:rsid w:val="006E70CE"/>
    <w:rsid w:val="006E71DD"/>
    <w:rsid w:val="006F362E"/>
    <w:rsid w:val="00717032"/>
    <w:rsid w:val="00724029"/>
    <w:rsid w:val="007276EF"/>
    <w:rsid w:val="00735019"/>
    <w:rsid w:val="007357C0"/>
    <w:rsid w:val="00736C52"/>
    <w:rsid w:val="00743569"/>
    <w:rsid w:val="0074592E"/>
    <w:rsid w:val="00754395"/>
    <w:rsid w:val="00757EDF"/>
    <w:rsid w:val="007608B7"/>
    <w:rsid w:val="00760B7E"/>
    <w:rsid w:val="0076219F"/>
    <w:rsid w:val="00767E86"/>
    <w:rsid w:val="00780A56"/>
    <w:rsid w:val="007814F5"/>
    <w:rsid w:val="007834A3"/>
    <w:rsid w:val="00790103"/>
    <w:rsid w:val="007932E1"/>
    <w:rsid w:val="007934D5"/>
    <w:rsid w:val="007A13AA"/>
    <w:rsid w:val="007A6D49"/>
    <w:rsid w:val="007B1F16"/>
    <w:rsid w:val="007C2E84"/>
    <w:rsid w:val="007C3C2C"/>
    <w:rsid w:val="007C4BC0"/>
    <w:rsid w:val="007D0C8E"/>
    <w:rsid w:val="007E64D9"/>
    <w:rsid w:val="007E66EC"/>
    <w:rsid w:val="007E79D6"/>
    <w:rsid w:val="007F617C"/>
    <w:rsid w:val="008013C5"/>
    <w:rsid w:val="00803741"/>
    <w:rsid w:val="00812BDB"/>
    <w:rsid w:val="00815C9F"/>
    <w:rsid w:val="008167B4"/>
    <w:rsid w:val="00824307"/>
    <w:rsid w:val="00833E5F"/>
    <w:rsid w:val="008348F9"/>
    <w:rsid w:val="00846BFC"/>
    <w:rsid w:val="008512F3"/>
    <w:rsid w:val="00860CE4"/>
    <w:rsid w:val="00865B29"/>
    <w:rsid w:val="00866C40"/>
    <w:rsid w:val="00870FE6"/>
    <w:rsid w:val="00876483"/>
    <w:rsid w:val="00881EE5"/>
    <w:rsid w:val="008821FB"/>
    <w:rsid w:val="00890A16"/>
    <w:rsid w:val="008915AD"/>
    <w:rsid w:val="00894C97"/>
    <w:rsid w:val="008A6177"/>
    <w:rsid w:val="008B7DF5"/>
    <w:rsid w:val="008C396D"/>
    <w:rsid w:val="008C74C3"/>
    <w:rsid w:val="008C7F5C"/>
    <w:rsid w:val="008D078E"/>
    <w:rsid w:val="008D43ED"/>
    <w:rsid w:val="008E4660"/>
    <w:rsid w:val="008F29A2"/>
    <w:rsid w:val="0090350D"/>
    <w:rsid w:val="00906189"/>
    <w:rsid w:val="00921F44"/>
    <w:rsid w:val="00922A8C"/>
    <w:rsid w:val="00926ADE"/>
    <w:rsid w:val="0095166E"/>
    <w:rsid w:val="00962759"/>
    <w:rsid w:val="009632A0"/>
    <w:rsid w:val="009660E7"/>
    <w:rsid w:val="0096650B"/>
    <w:rsid w:val="0097465C"/>
    <w:rsid w:val="00980A59"/>
    <w:rsid w:val="009979A8"/>
    <w:rsid w:val="009A0347"/>
    <w:rsid w:val="009A225C"/>
    <w:rsid w:val="009A370C"/>
    <w:rsid w:val="009A3F09"/>
    <w:rsid w:val="009A444D"/>
    <w:rsid w:val="009B00DD"/>
    <w:rsid w:val="009B3AC8"/>
    <w:rsid w:val="009B48FB"/>
    <w:rsid w:val="009B5462"/>
    <w:rsid w:val="009C323C"/>
    <w:rsid w:val="009C4D83"/>
    <w:rsid w:val="009D2DCF"/>
    <w:rsid w:val="009E2938"/>
    <w:rsid w:val="009F1FD6"/>
    <w:rsid w:val="009F5000"/>
    <w:rsid w:val="009F6860"/>
    <w:rsid w:val="009F6956"/>
    <w:rsid w:val="009F7064"/>
    <w:rsid w:val="00A00CAC"/>
    <w:rsid w:val="00A0543A"/>
    <w:rsid w:val="00A07FD3"/>
    <w:rsid w:val="00A104FB"/>
    <w:rsid w:val="00A15AC0"/>
    <w:rsid w:val="00A17711"/>
    <w:rsid w:val="00A31AD6"/>
    <w:rsid w:val="00A443B9"/>
    <w:rsid w:val="00A44CC4"/>
    <w:rsid w:val="00A56B22"/>
    <w:rsid w:val="00A636D9"/>
    <w:rsid w:val="00A67502"/>
    <w:rsid w:val="00A740ED"/>
    <w:rsid w:val="00A7603F"/>
    <w:rsid w:val="00A76CBF"/>
    <w:rsid w:val="00A80B76"/>
    <w:rsid w:val="00A8361E"/>
    <w:rsid w:val="00A86328"/>
    <w:rsid w:val="00A950AF"/>
    <w:rsid w:val="00AA2829"/>
    <w:rsid w:val="00AB1E89"/>
    <w:rsid w:val="00AB244C"/>
    <w:rsid w:val="00AB5432"/>
    <w:rsid w:val="00AC224D"/>
    <w:rsid w:val="00AC550A"/>
    <w:rsid w:val="00AE0610"/>
    <w:rsid w:val="00AE59EF"/>
    <w:rsid w:val="00AF1B73"/>
    <w:rsid w:val="00AF31EE"/>
    <w:rsid w:val="00AF3E08"/>
    <w:rsid w:val="00AF5160"/>
    <w:rsid w:val="00AF6828"/>
    <w:rsid w:val="00AF780C"/>
    <w:rsid w:val="00B0070A"/>
    <w:rsid w:val="00B02E34"/>
    <w:rsid w:val="00B15D06"/>
    <w:rsid w:val="00B20E15"/>
    <w:rsid w:val="00B22493"/>
    <w:rsid w:val="00B23763"/>
    <w:rsid w:val="00B32D9C"/>
    <w:rsid w:val="00B350B6"/>
    <w:rsid w:val="00B40320"/>
    <w:rsid w:val="00B5538E"/>
    <w:rsid w:val="00B60453"/>
    <w:rsid w:val="00B67215"/>
    <w:rsid w:val="00B67AB9"/>
    <w:rsid w:val="00B72F35"/>
    <w:rsid w:val="00B74D02"/>
    <w:rsid w:val="00B90120"/>
    <w:rsid w:val="00B95370"/>
    <w:rsid w:val="00BA063A"/>
    <w:rsid w:val="00BA7134"/>
    <w:rsid w:val="00BB19F3"/>
    <w:rsid w:val="00BB269C"/>
    <w:rsid w:val="00BD1C0D"/>
    <w:rsid w:val="00BD2766"/>
    <w:rsid w:val="00BD4D2C"/>
    <w:rsid w:val="00BD5BB3"/>
    <w:rsid w:val="00BF1823"/>
    <w:rsid w:val="00C001AF"/>
    <w:rsid w:val="00C01C5B"/>
    <w:rsid w:val="00C062E8"/>
    <w:rsid w:val="00C115F9"/>
    <w:rsid w:val="00C161C4"/>
    <w:rsid w:val="00C22DC2"/>
    <w:rsid w:val="00C23574"/>
    <w:rsid w:val="00C2544F"/>
    <w:rsid w:val="00C257F3"/>
    <w:rsid w:val="00C3046A"/>
    <w:rsid w:val="00C3278C"/>
    <w:rsid w:val="00C33538"/>
    <w:rsid w:val="00C53730"/>
    <w:rsid w:val="00C613CB"/>
    <w:rsid w:val="00C62473"/>
    <w:rsid w:val="00C62A81"/>
    <w:rsid w:val="00C63EBD"/>
    <w:rsid w:val="00C6497B"/>
    <w:rsid w:val="00C704AF"/>
    <w:rsid w:val="00C7317F"/>
    <w:rsid w:val="00C82BE4"/>
    <w:rsid w:val="00C843D8"/>
    <w:rsid w:val="00C871ED"/>
    <w:rsid w:val="00C876BA"/>
    <w:rsid w:val="00C91A19"/>
    <w:rsid w:val="00C932F9"/>
    <w:rsid w:val="00C95182"/>
    <w:rsid w:val="00CA2F86"/>
    <w:rsid w:val="00CA4BB2"/>
    <w:rsid w:val="00CA7AB2"/>
    <w:rsid w:val="00CC2F32"/>
    <w:rsid w:val="00CD7B8B"/>
    <w:rsid w:val="00CE3383"/>
    <w:rsid w:val="00CE6DB3"/>
    <w:rsid w:val="00D012F7"/>
    <w:rsid w:val="00D013BB"/>
    <w:rsid w:val="00D026A7"/>
    <w:rsid w:val="00D1303E"/>
    <w:rsid w:val="00D13A54"/>
    <w:rsid w:val="00D202DF"/>
    <w:rsid w:val="00D24625"/>
    <w:rsid w:val="00D46E20"/>
    <w:rsid w:val="00D53106"/>
    <w:rsid w:val="00D54CA7"/>
    <w:rsid w:val="00D55BCB"/>
    <w:rsid w:val="00D60ADF"/>
    <w:rsid w:val="00D64079"/>
    <w:rsid w:val="00D64BF7"/>
    <w:rsid w:val="00D7670C"/>
    <w:rsid w:val="00D8183B"/>
    <w:rsid w:val="00D94F92"/>
    <w:rsid w:val="00DA1D3F"/>
    <w:rsid w:val="00DA3C60"/>
    <w:rsid w:val="00DA7586"/>
    <w:rsid w:val="00DC126E"/>
    <w:rsid w:val="00DC2C27"/>
    <w:rsid w:val="00DC766C"/>
    <w:rsid w:val="00DD2E48"/>
    <w:rsid w:val="00DE2CD9"/>
    <w:rsid w:val="00DF0A9B"/>
    <w:rsid w:val="00DF18EF"/>
    <w:rsid w:val="00E1068A"/>
    <w:rsid w:val="00E12954"/>
    <w:rsid w:val="00E14A04"/>
    <w:rsid w:val="00E23A10"/>
    <w:rsid w:val="00E25A04"/>
    <w:rsid w:val="00E32343"/>
    <w:rsid w:val="00E33E09"/>
    <w:rsid w:val="00E40C23"/>
    <w:rsid w:val="00E419E9"/>
    <w:rsid w:val="00E4599C"/>
    <w:rsid w:val="00E50556"/>
    <w:rsid w:val="00E54C26"/>
    <w:rsid w:val="00E55222"/>
    <w:rsid w:val="00E61584"/>
    <w:rsid w:val="00E62999"/>
    <w:rsid w:val="00E65E99"/>
    <w:rsid w:val="00E66E41"/>
    <w:rsid w:val="00E72EDD"/>
    <w:rsid w:val="00E74B12"/>
    <w:rsid w:val="00E80EF6"/>
    <w:rsid w:val="00E86383"/>
    <w:rsid w:val="00EB0413"/>
    <w:rsid w:val="00EB1B65"/>
    <w:rsid w:val="00EB4BD3"/>
    <w:rsid w:val="00EC7102"/>
    <w:rsid w:val="00EC79BC"/>
    <w:rsid w:val="00ED0230"/>
    <w:rsid w:val="00ED1249"/>
    <w:rsid w:val="00ED381A"/>
    <w:rsid w:val="00EE1DAD"/>
    <w:rsid w:val="00EE3976"/>
    <w:rsid w:val="00EE4248"/>
    <w:rsid w:val="00EE74F0"/>
    <w:rsid w:val="00F058E4"/>
    <w:rsid w:val="00F05FAD"/>
    <w:rsid w:val="00F12C91"/>
    <w:rsid w:val="00F1613C"/>
    <w:rsid w:val="00F1765B"/>
    <w:rsid w:val="00F25432"/>
    <w:rsid w:val="00F2657F"/>
    <w:rsid w:val="00F46743"/>
    <w:rsid w:val="00F51314"/>
    <w:rsid w:val="00F54F75"/>
    <w:rsid w:val="00F6070E"/>
    <w:rsid w:val="00F6071C"/>
    <w:rsid w:val="00F62150"/>
    <w:rsid w:val="00F65D0D"/>
    <w:rsid w:val="00F70185"/>
    <w:rsid w:val="00F74249"/>
    <w:rsid w:val="00F7695F"/>
    <w:rsid w:val="00F806A6"/>
    <w:rsid w:val="00F937BB"/>
    <w:rsid w:val="00F93B16"/>
    <w:rsid w:val="00FA0538"/>
    <w:rsid w:val="00FA7EC7"/>
    <w:rsid w:val="00FC3822"/>
    <w:rsid w:val="00FC7384"/>
    <w:rsid w:val="00FD1685"/>
    <w:rsid w:val="00FE6F8E"/>
    <w:rsid w:val="00FF0F08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AAC2C1B"/>
  <w15:chartTrackingRefBased/>
  <w15:docId w15:val="{09F95CE7-247F-41D2-B23F-B94655925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A2F"/>
    <w:pPr>
      <w:spacing w:after="0" w:line="240" w:lineRule="auto"/>
    </w:pPr>
  </w:style>
  <w:style w:type="table" w:styleId="TableGrid">
    <w:name w:val="Table Grid"/>
    <w:basedOn w:val="TableNormal"/>
    <w:uiPriority w:val="39"/>
    <w:rsid w:val="00422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E0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F042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643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30B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30B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3670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670"/>
    <w:rPr>
      <w:rFonts w:eastAsia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00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AF"/>
  </w:style>
  <w:style w:type="paragraph" w:styleId="Footer">
    <w:name w:val="footer"/>
    <w:basedOn w:val="Normal"/>
    <w:link w:val="FooterChar"/>
    <w:uiPriority w:val="99"/>
    <w:unhideWhenUsed/>
    <w:rsid w:val="00C00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AF"/>
  </w:style>
  <w:style w:type="character" w:styleId="Hyperlink">
    <w:name w:val="Hyperlink"/>
    <w:basedOn w:val="DefaultParagraphFont"/>
    <w:uiPriority w:val="99"/>
    <w:unhideWhenUsed/>
    <w:rsid w:val="00C613CB"/>
    <w:rPr>
      <w:color w:val="0563C1" w:themeColor="hyperlink"/>
      <w:u w:val="single"/>
    </w:rPr>
  </w:style>
  <w:style w:type="paragraph" w:customStyle="1" w:styleId="Default">
    <w:name w:val="Default"/>
    <w:rsid w:val="00AF51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6519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55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32E9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6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66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54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AF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ms.gov/Regulations-and-Guidance/Legislation/EHRIncentivePrograms/Downloads/FAQs.pdf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ealthdata.vermont.gov/sites/healthdata/files/pdfs/EHRIP/MedicaidEPModStage2_2018_Obj10.pdf" TargetMode="External"/><Relationship Id="rId17" Type="http://schemas.openxmlformats.org/officeDocument/2006/relationships/hyperlink" Target="mailto:ahs.dvhaEHRIP@vermont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hs.dvhaEHRIP@vermont.g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ealthdata.vermont.gov/ehrip/PY2018/PH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E4134AB8AF147BD3A89B196D7C39B" ma:contentTypeVersion="0" ma:contentTypeDescription="Create a new document." ma:contentTypeScope="" ma:versionID="1c90a2ec23003987c03a568abfb6457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F8DF2-50C1-46DD-868E-505C72BA24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6343CE-E51D-4F11-8459-85455614951E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7F4198-B008-46B1-8007-539D3B432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7914085-8917-45AF-8826-7B89CA7D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Siciliano, Lorraine</dc:creator>
  <cp:keywords/>
  <dc:description/>
  <cp:lastModifiedBy>Siciliano, Lorraine</cp:lastModifiedBy>
  <cp:revision>3</cp:revision>
  <cp:lastPrinted>2017-06-29T16:01:00Z</cp:lastPrinted>
  <dcterms:created xsi:type="dcterms:W3CDTF">2019-02-01T18:17:00Z</dcterms:created>
  <dcterms:modified xsi:type="dcterms:W3CDTF">2019-02-01T18:20:00Z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0x010100B8FE4134AB8AF147BD3A89B196D7C39B</vt:lpwstr>
  </property>
</Properties>
</file>